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eastAsia="黑体"/>
          <w:szCs w:val="32"/>
        </w:rPr>
      </w:pPr>
      <w:r>
        <w:rPr>
          <w:rFonts w:hint="eastAsia" w:ascii="黑体" w:eastAsia="黑体"/>
          <w:szCs w:val="32"/>
        </w:rPr>
        <w:t>附件</w:t>
      </w:r>
      <w:r>
        <w:rPr>
          <w:rFonts w:hint="eastAsia" w:ascii="黑体" w:eastAsia="黑体"/>
          <w:szCs w:val="32"/>
          <w:lang w:val="en-US" w:eastAsia="zh-CN"/>
        </w:rPr>
        <w:t>3-1</w:t>
      </w:r>
      <w:r>
        <w:rPr>
          <w:rFonts w:hint="eastAsia" w:ascii="黑体" w:eastAsia="黑体"/>
          <w:szCs w:val="32"/>
        </w:rPr>
        <w:t>：</w:t>
      </w:r>
    </w:p>
    <w:tbl>
      <w:tblPr>
        <w:tblStyle w:val="4"/>
        <w:tblW w:w="9174" w:type="dxa"/>
        <w:jc w:val="center"/>
        <w:tblInd w:w="0" w:type="dxa"/>
        <w:tblLayout w:type="fixed"/>
        <w:tblCellMar>
          <w:top w:w="0" w:type="dxa"/>
          <w:left w:w="28" w:type="dxa"/>
          <w:bottom w:w="0" w:type="dxa"/>
          <w:right w:w="28" w:type="dxa"/>
        </w:tblCellMar>
      </w:tblPr>
      <w:tblGrid>
        <w:gridCol w:w="482"/>
        <w:gridCol w:w="635"/>
        <w:gridCol w:w="1085"/>
        <w:gridCol w:w="765"/>
        <w:gridCol w:w="2790"/>
        <w:gridCol w:w="3417"/>
      </w:tblGrid>
      <w:tr>
        <w:tblPrEx>
          <w:tblLayout w:type="fixed"/>
          <w:tblCellMar>
            <w:top w:w="0" w:type="dxa"/>
            <w:left w:w="28" w:type="dxa"/>
            <w:bottom w:w="0" w:type="dxa"/>
            <w:right w:w="28" w:type="dxa"/>
          </w:tblCellMar>
        </w:tblPrEx>
        <w:trPr>
          <w:tblHeader/>
          <w:jc w:val="center"/>
        </w:trPr>
        <w:tc>
          <w:tcPr>
            <w:tcW w:w="9174" w:type="dxa"/>
            <w:gridSpan w:val="6"/>
            <w:tcBorders>
              <w:bottom w:val="single" w:color="auto" w:sz="4" w:space="0"/>
            </w:tcBorders>
            <w:tcMar>
              <w:top w:w="10" w:type="dxa"/>
              <w:left w:w="10" w:type="dxa"/>
              <w:bottom w:w="0" w:type="dxa"/>
              <w:right w:w="10" w:type="dxa"/>
            </w:tcMar>
            <w:vAlign w:val="center"/>
          </w:tcPr>
          <w:p>
            <w:pPr>
              <w:spacing w:after="156" w:afterLines="50"/>
              <w:jc w:val="center"/>
              <w:rPr>
                <w:rFonts w:ascii="黑体" w:eastAsia="黑体"/>
                <w:b/>
                <w:bCs/>
                <w:sz w:val="18"/>
                <w:szCs w:val="18"/>
              </w:rPr>
            </w:pPr>
            <w:r>
              <w:rPr>
                <w:rFonts w:hint="eastAsia" w:ascii="黑体" w:eastAsia="黑体"/>
                <w:bCs/>
                <w:sz w:val="36"/>
                <w:szCs w:val="36"/>
                <w:lang w:val="en-US" w:eastAsia="zh-CN"/>
              </w:rPr>
              <w:t xml:space="preserve"> </w:t>
            </w:r>
            <w:r>
              <w:rPr>
                <w:rFonts w:hint="eastAsia" w:ascii="黑体" w:eastAsia="黑体"/>
                <w:bCs/>
                <w:sz w:val="36"/>
                <w:szCs w:val="36"/>
              </w:rPr>
              <w:t>部门整体支出绩效自评指标评分表</w:t>
            </w:r>
          </w:p>
        </w:tc>
      </w:tr>
      <w:tr>
        <w:tblPrEx>
          <w:tblLayout w:type="fixed"/>
          <w:tblCellMar>
            <w:top w:w="0" w:type="dxa"/>
            <w:left w:w="28" w:type="dxa"/>
            <w:bottom w:w="0" w:type="dxa"/>
            <w:right w:w="28" w:type="dxa"/>
          </w:tblCellMar>
        </w:tblPrEx>
        <w:trPr>
          <w:trHeight w:val="950" w:hRule="atLeast"/>
          <w:tblHeader/>
          <w:jc w:val="center"/>
        </w:trPr>
        <w:tc>
          <w:tcPr>
            <w:tcW w:w="48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一级</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指标</w:t>
            </w:r>
          </w:p>
        </w:tc>
        <w:tc>
          <w:tcPr>
            <w:tcW w:w="63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二级</w:t>
            </w:r>
          </w:p>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w:t>
            </w: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三级</w:t>
            </w:r>
          </w:p>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自评分</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指标解释</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指标说明</w:t>
            </w:r>
          </w:p>
        </w:tc>
      </w:tr>
      <w:tr>
        <w:tblPrEx>
          <w:tblLayout w:type="fixed"/>
          <w:tblCellMar>
            <w:top w:w="0" w:type="dxa"/>
            <w:left w:w="28" w:type="dxa"/>
            <w:bottom w:w="0" w:type="dxa"/>
            <w:right w:w="28" w:type="dxa"/>
          </w:tblCellMar>
        </w:tblPrEx>
        <w:trPr>
          <w:trHeight w:val="1491"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   入（20分）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目标</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设定（5分）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绩效目标合理性（2分）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ind w:firstLine="210" w:firstLineChars="100"/>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部门所设立的整体绩效目标依据是否充分，是否符合客观实际，用以反映和考核部门整体绩效目标与部门履职、年度工作任务的相符性情况。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①符合国家法律法规、国民经济和社会发展总体规划计1分；②符合部门“三定”方案确定的职责计0.5分；③是否符合部门制定的中长期实施规划计0.5分。</w:t>
            </w:r>
          </w:p>
        </w:tc>
      </w:tr>
      <w:tr>
        <w:tblPrEx>
          <w:tblLayout w:type="fixed"/>
          <w:tblCellMar>
            <w:top w:w="0" w:type="dxa"/>
            <w:left w:w="28" w:type="dxa"/>
            <w:bottom w:w="0" w:type="dxa"/>
            <w:right w:w="28" w:type="dxa"/>
          </w:tblCellMar>
        </w:tblPrEx>
        <w:trPr>
          <w:trHeight w:val="1674"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绩效指标明确性（3分）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ind w:firstLine="210" w:firstLineChars="100"/>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3</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部门依据整体绩效目标所设定的绩效指标是否清晰、细化、可衡量，用以反映和考核部门整体绩效目标的明细化情况。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Layout w:type="fixed"/>
          <w:tblCellMar>
            <w:top w:w="0" w:type="dxa"/>
            <w:left w:w="28" w:type="dxa"/>
            <w:bottom w:w="0" w:type="dxa"/>
            <w:right w:w="28" w:type="dxa"/>
          </w:tblCellMar>
        </w:tblPrEx>
        <w:trPr>
          <w:trHeight w:val="1548"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配置（15分）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在职人员控制率（5分）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 xml:space="preserve"> 5</w:t>
            </w:r>
          </w:p>
          <w:p>
            <w:pPr>
              <w:tabs>
                <w:tab w:val="left" w:pos="2604"/>
              </w:tabs>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 xml:space="preserve"> </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部门本年度实际在职人员数与编制数的比率，用以反映和考核部门对人员成本的控制程度。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Layout w:type="fixed"/>
          <w:tblCellMar>
            <w:top w:w="0" w:type="dxa"/>
            <w:left w:w="28" w:type="dxa"/>
            <w:bottom w:w="0" w:type="dxa"/>
            <w:right w:w="28" w:type="dxa"/>
          </w:tblCellMar>
        </w:tblPrEx>
        <w:trPr>
          <w:trHeight w:val="1856"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“三公经费”变动率（5分）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 xml:space="preserve"> 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部门本年度“三公经费”预算数与上年度“三公经费”预算数的变动比率，用以反映和考核部门对控制重点行政成本的努力程度。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Layout w:type="fixed"/>
          <w:tblCellMar>
            <w:top w:w="0" w:type="dxa"/>
            <w:left w:w="28" w:type="dxa"/>
            <w:bottom w:w="0" w:type="dxa"/>
            <w:right w:w="28" w:type="dxa"/>
          </w:tblCellMar>
        </w:tblPrEx>
        <w:trPr>
          <w:trHeight w:val="2218"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重点支出安排率（5分）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 xml:space="preserve"> 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部门本年度预算安排的重点项目支出与部门项目总支出的比率，用以反映和考核部门对履行主要职责或完成重点任务的保障程度。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Layout w:type="fixed"/>
          <w:tblCellMar>
            <w:top w:w="0" w:type="dxa"/>
            <w:left w:w="28" w:type="dxa"/>
            <w:bottom w:w="0" w:type="dxa"/>
            <w:right w:w="28" w:type="dxa"/>
          </w:tblCellMar>
        </w:tblPrEx>
        <w:trPr>
          <w:trHeight w:val="529" w:hRule="atLeast"/>
          <w:jc w:val="center"/>
        </w:trPr>
        <w:tc>
          <w:tcPr>
            <w:tcW w:w="482" w:type="dxa"/>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             程（30分）</w:t>
            </w:r>
          </w:p>
        </w:tc>
        <w:tc>
          <w:tcPr>
            <w:tcW w:w="635" w:type="dxa"/>
            <w:vMerge w:val="restart"/>
            <w:tcBorders>
              <w:top w:val="nil"/>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预算执行（20分）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预算完成率(4分)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 xml:space="preserve"> 4</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部门本年度预算完成数与预算数的比率，用以反映和考核部门预算完成程度。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预算完成率=（预算完成数/预算数）×100%。完成年初预算计4分，未完成年初预算按比例扣减，预算完成数：部门本年度实际完成的预算数。预算数：财政部门批复的本年度部门预算数。</w:t>
            </w:r>
          </w:p>
        </w:tc>
      </w:tr>
      <w:tr>
        <w:tblPrEx>
          <w:tblLayout w:type="fixed"/>
          <w:tblCellMar>
            <w:top w:w="0" w:type="dxa"/>
            <w:left w:w="28" w:type="dxa"/>
            <w:bottom w:w="0" w:type="dxa"/>
            <w:right w:w="28" w:type="dxa"/>
          </w:tblCellMar>
        </w:tblPrEx>
        <w:trPr>
          <w:trHeight w:val="1391"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预算调整率（2分）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 xml:space="preserve"> 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部门本年度预算调整数与预算数的比率，用以反映和考核部门预算的调整程度。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Layout w:type="fixed"/>
          <w:tblCellMar>
            <w:top w:w="0" w:type="dxa"/>
            <w:left w:w="28" w:type="dxa"/>
            <w:bottom w:w="0" w:type="dxa"/>
            <w:right w:w="28" w:type="dxa"/>
          </w:tblCellMar>
        </w:tblPrEx>
        <w:trPr>
          <w:trHeight w:val="2018"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支付进度率（2分）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 xml:space="preserve"> 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部门实际支付进度与既定支付进度的比率，用以反映和考核部门预算执行的及时性和均衡性程度。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Layout w:type="fixed"/>
          <w:tblCellMar>
            <w:top w:w="0" w:type="dxa"/>
            <w:left w:w="28" w:type="dxa"/>
            <w:bottom w:w="0" w:type="dxa"/>
            <w:right w:w="28" w:type="dxa"/>
          </w:tblCellMar>
        </w:tblPrEx>
        <w:trPr>
          <w:trHeight w:val="315" w:hRule="atLeast"/>
          <w:jc w:val="center"/>
        </w:trPr>
        <w:tc>
          <w:tcPr>
            <w:tcW w:w="482" w:type="dxa"/>
            <w:vMerge w:val="continue"/>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结转结余控制率（4分）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1</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部门本年度结转结余总额与上年结</w:t>
            </w:r>
            <w:bookmarkStart w:id="0" w:name="_GoBack"/>
            <w:bookmarkEnd w:id="0"/>
            <w:r>
              <w:rPr>
                <w:rFonts w:hint="eastAsia" w:ascii="仿宋_GB2312" w:hAnsi="仿宋_GB2312" w:eastAsia="仿宋_GB2312" w:cs="仿宋_GB2312"/>
                <w:sz w:val="21"/>
                <w:szCs w:val="21"/>
              </w:rPr>
              <w:t>转结余总额增减比例，用以反映和考核部门对存量资金的实际控制程度。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Layout w:type="fixed"/>
          <w:tblCellMar>
            <w:top w:w="0" w:type="dxa"/>
            <w:left w:w="28" w:type="dxa"/>
            <w:bottom w:w="0" w:type="dxa"/>
            <w:right w:w="28" w:type="dxa"/>
          </w:tblCellMar>
        </w:tblPrEx>
        <w:trPr>
          <w:trHeight w:val="1229"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公用经费控制率（2分）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 xml:space="preserve"> 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部门本年度实际支出的公用经费总额与预算安排的公用经费总额的比率，用以反映和考核部门对机构运转成本的实际控制程度。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公用经费控制率=（实际支出公用经费总额/预算安排公用经费总额）×100%。为100%的计2分，每超过1个百分点扣0.1分，扣完为止。</w:t>
            </w:r>
          </w:p>
        </w:tc>
      </w:tr>
      <w:tr>
        <w:tblPrEx>
          <w:tblLayout w:type="fixed"/>
          <w:tblCellMar>
            <w:top w:w="0" w:type="dxa"/>
            <w:left w:w="28" w:type="dxa"/>
            <w:bottom w:w="0" w:type="dxa"/>
            <w:right w:w="28" w:type="dxa"/>
          </w:tblCellMar>
        </w:tblPrEx>
        <w:trPr>
          <w:trHeight w:val="1090"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“三公经费”控制率（2分）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 xml:space="preserve"> 2 </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部门本年度“三公经费”实际支出数与预算安排数的比率，用以反映和考核部门对“三公经费”的实际控制程度。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“三公经费”控制率=（“三公经费”实际支出数/“三公经费”预算安排数）×100%。为100%的计2分，每超过1个百分点扣0.5分，扣完为止。</w:t>
            </w:r>
          </w:p>
        </w:tc>
      </w:tr>
      <w:tr>
        <w:tblPrEx>
          <w:tblLayout w:type="fixed"/>
          <w:tblCellMar>
            <w:top w:w="0" w:type="dxa"/>
            <w:left w:w="28" w:type="dxa"/>
            <w:bottom w:w="0" w:type="dxa"/>
            <w:right w:w="28" w:type="dxa"/>
          </w:tblCellMar>
        </w:tblPrEx>
        <w:trPr>
          <w:trHeight w:val="287"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政府采购执行率（4分）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 xml:space="preserve"> 4</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部门本年度实际政府采购金额与年初政府采购预算的比率，用以反映和考核部门政府采购预算执行情况。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政府采购执行率=（实际政府采购金额/政府采购预算数）×100%，为100%的计2分，每低于1个百分点扣0.5分，扣完为止；政府采购预算：采购机关根据事业发展计划和行政任务编制的、并经过规定程序批准的年度政府采购计划。 </w:t>
            </w:r>
          </w:p>
        </w:tc>
      </w:tr>
      <w:tr>
        <w:tblPrEx>
          <w:tblLayout w:type="fixed"/>
          <w:tblCellMar>
            <w:top w:w="0" w:type="dxa"/>
            <w:left w:w="28" w:type="dxa"/>
            <w:bottom w:w="0" w:type="dxa"/>
            <w:right w:w="28" w:type="dxa"/>
          </w:tblCellMar>
        </w:tblPrEx>
        <w:trPr>
          <w:trHeight w:val="1391" w:hRule="atLeast"/>
          <w:jc w:val="center"/>
        </w:trPr>
        <w:tc>
          <w:tcPr>
            <w:tcW w:w="482"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             程（30分）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预算</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管理制度健全性（2分）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 xml:space="preserve"> 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部门为加强预算管理、规范财务行为而制定的管理制度是否健全完整，用以反映和考核部门预算管理制度对完成主要职责或促进事业发展的保障情况。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已制定或具有预算资金管理办法、内部财务管理制度、会计核算制度等管理制度计1分；相关管理制度合法、合规、完整计0.5分；相关管理制度得到有效执行计0.5分。</w:t>
            </w:r>
          </w:p>
        </w:tc>
      </w:tr>
      <w:tr>
        <w:tblPrEx>
          <w:tblLayout w:type="fixed"/>
          <w:tblCellMar>
            <w:top w:w="0" w:type="dxa"/>
            <w:left w:w="28" w:type="dxa"/>
            <w:bottom w:w="0" w:type="dxa"/>
            <w:right w:w="28" w:type="dxa"/>
          </w:tblCellMar>
        </w:tblPrEx>
        <w:trPr>
          <w:trHeight w:val="2001"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资金使用合规性（1分）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 xml:space="preserve"> 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部门使用预算资金是否符合相关的预算财务管理制度的规定，用以反映和考核部门预算资金的规范运行情况。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Layout w:type="fixed"/>
          <w:tblCellMar>
            <w:top w:w="0" w:type="dxa"/>
            <w:left w:w="28" w:type="dxa"/>
            <w:bottom w:w="0" w:type="dxa"/>
            <w:right w:w="28" w:type="dxa"/>
          </w:tblCellMar>
        </w:tblPrEx>
        <w:trPr>
          <w:trHeight w:val="1391"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预决算信息公开性（1分）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 xml:space="preserve"> 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部门是否按照政府信息公开有关规定公开相关预决算信息，用以反映和考核部门预决算管理的公开透明情况。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①按规定内容公开预决算信息计0.5分；②按规定时限公开预决算信息计0.5分。预决算信息是指与部门预算、执行、决算、监督、绩效等管理相关的信息。</w:t>
            </w:r>
          </w:p>
        </w:tc>
      </w:tr>
      <w:tr>
        <w:tblPrEx>
          <w:tblLayout w:type="fixed"/>
          <w:tblCellMar>
            <w:top w:w="0" w:type="dxa"/>
            <w:left w:w="28" w:type="dxa"/>
            <w:bottom w:w="0" w:type="dxa"/>
            <w:right w:w="28" w:type="dxa"/>
          </w:tblCellMar>
        </w:tblPrEx>
        <w:trPr>
          <w:trHeight w:val="1395"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基础信息完善性（1分）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 xml:space="preserve"> 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部门基础信息是否完善，用以反映和考核基础信息对预算管理工作的支撑情况。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①基础数据信息和会计信息资料真实计0.4分；②基础数据信息和会计信息资料完整计0.3分；③基础数据信息和会计信息资料准确计0.3分。</w:t>
            </w:r>
          </w:p>
        </w:tc>
      </w:tr>
      <w:tr>
        <w:tblPrEx>
          <w:tblLayout w:type="fixed"/>
          <w:tblCellMar>
            <w:top w:w="0" w:type="dxa"/>
            <w:left w:w="28" w:type="dxa"/>
            <w:bottom w:w="0" w:type="dxa"/>
            <w:right w:w="28" w:type="dxa"/>
          </w:tblCellMar>
        </w:tblPrEx>
        <w:trPr>
          <w:trHeight w:val="90" w:hRule="atLeast"/>
          <w:jc w:val="center"/>
        </w:trPr>
        <w:tc>
          <w:tcPr>
            <w:tcW w:w="482" w:type="dxa"/>
            <w:vMerge w:val="continue"/>
            <w:tcBorders>
              <w:left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p>
        </w:tc>
        <w:tc>
          <w:tcPr>
            <w:tcW w:w="635" w:type="dxa"/>
            <w:vMerge w:val="restart"/>
            <w:tcBorders>
              <w:top w:val="nil"/>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管理</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管理制度健全性（2分）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 xml:space="preserve"> 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部门为加强资产管理、规范资产管理行为而制定的管理制度是否健全完整，用以反映和考核部门资产管理制度对完成主要职责或促进社会发展的保障情况。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①制定或具有资产管理制度计1分；②相关资金管理制度合法、合规、完整计0.5分；③相关资产管理制度得到有效执行计0.5分。</w:t>
            </w:r>
          </w:p>
        </w:tc>
      </w:tr>
      <w:tr>
        <w:tblPrEx>
          <w:tblLayout w:type="fixed"/>
          <w:tblCellMar>
            <w:top w:w="0" w:type="dxa"/>
            <w:left w:w="28" w:type="dxa"/>
            <w:bottom w:w="0" w:type="dxa"/>
            <w:right w:w="28" w:type="dxa"/>
          </w:tblCellMar>
        </w:tblPrEx>
        <w:trPr>
          <w:trHeight w:val="1532" w:hRule="atLeast"/>
          <w:jc w:val="center"/>
        </w:trPr>
        <w:tc>
          <w:tcPr>
            <w:tcW w:w="482"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资产管理安全性（2分）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761"/>
                <w:tab w:val="left" w:pos="2604"/>
              </w:tabs>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 xml:space="preserve"> 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761"/>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部门的资产是否保存完整、使用合规、配置合理、处置规范、收入及时足额上缴，用以反映和考核部门资产安全运行情况。</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①资产保存完整计0.4分；②资产配置合理计0.4分；③资产处置规范计0.4分；④资产账务管理合规、帐实相符计0.4分；⑤资产有偿使用及处置收入及时足额上缴计0.4分。</w:t>
            </w:r>
          </w:p>
        </w:tc>
      </w:tr>
      <w:tr>
        <w:tblPrEx>
          <w:tblLayout w:type="fixed"/>
          <w:tblCellMar>
            <w:top w:w="0" w:type="dxa"/>
            <w:left w:w="28" w:type="dxa"/>
            <w:bottom w:w="0" w:type="dxa"/>
            <w:right w:w="28" w:type="dxa"/>
          </w:tblCellMar>
        </w:tblPrEx>
        <w:trPr>
          <w:trHeight w:val="1110" w:hRule="atLeast"/>
          <w:jc w:val="center"/>
        </w:trPr>
        <w:tc>
          <w:tcPr>
            <w:tcW w:w="482"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固定资产利用率（1分）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 xml:space="preserve"> 1</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部门实际在用固定资产总额与所有固定资产总额的比率，用以反映和考核部门固定资产使用效率程度。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固定资产利用率=（实际在用固定资产总额/所有固定资产总额）×100%。利用率为100%的计1分，每降1个百分点扣0.1分，扣完为止。</w:t>
            </w:r>
          </w:p>
        </w:tc>
      </w:tr>
      <w:tr>
        <w:tblPrEx>
          <w:tblLayout w:type="fixed"/>
          <w:tblCellMar>
            <w:top w:w="0" w:type="dxa"/>
            <w:left w:w="28" w:type="dxa"/>
            <w:bottom w:w="0" w:type="dxa"/>
            <w:right w:w="28" w:type="dxa"/>
          </w:tblCellMar>
        </w:tblPrEx>
        <w:trPr>
          <w:trHeight w:val="832"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   出（30分）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职责</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履行</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实际完成率（8分）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 xml:space="preserve"> 8</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部门履行职责而实际完成工作数与计划工作数的比率，用以反映和考核部门履职工作任务目标的实现程度。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实际完成率得分=完成市委市政府绩效考核得分或上级主管部门考核指标得分/指标分值*8分</w:t>
            </w:r>
          </w:p>
        </w:tc>
      </w:tr>
      <w:tr>
        <w:tblPrEx>
          <w:tblLayout w:type="fixed"/>
          <w:tblCellMar>
            <w:top w:w="0" w:type="dxa"/>
            <w:left w:w="28" w:type="dxa"/>
            <w:bottom w:w="0" w:type="dxa"/>
            <w:right w:w="28" w:type="dxa"/>
          </w:tblCellMar>
        </w:tblPrEx>
        <w:trPr>
          <w:trHeight w:val="109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完成及时率（4分）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4</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部门在规定时限内及时完成的实际工作数与计划工作数的比率,用以反映和考核部门履职时效目标的实现程度。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完成及时率=（及时完成实际工作数/计划工作数）×100%。1-4季度各得1分</w:t>
            </w:r>
            <w:r>
              <w:rPr>
                <w:rFonts w:hint="eastAsia" w:ascii="仿宋_GB2312" w:hAnsi="仿宋_GB2312" w:eastAsia="仿宋_GB2312" w:cs="仿宋_GB2312"/>
                <w:sz w:val="21"/>
                <w:szCs w:val="21"/>
              </w:rPr>
              <w:br w:type="textWrapping"/>
            </w:r>
          </w:p>
        </w:tc>
      </w:tr>
      <w:tr>
        <w:tblPrEx>
          <w:tblLayout w:type="fixed"/>
          <w:tblCellMar>
            <w:top w:w="0" w:type="dxa"/>
            <w:left w:w="28" w:type="dxa"/>
            <w:bottom w:w="0" w:type="dxa"/>
            <w:right w:w="28" w:type="dxa"/>
          </w:tblCellMar>
        </w:tblPrEx>
        <w:trPr>
          <w:trHeight w:val="36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质量达标率（8分）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 xml:space="preserve"> 8</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达到质量标准（绩效标准值）的实际工作数与计划工作数的比率,用以反映和考核部门履职质量目标的实现程度。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质量达标率=（质量达标实际工作数/计划工作数）×100%。实际得分=达标率*8分</w:t>
            </w:r>
          </w:p>
        </w:tc>
      </w:tr>
      <w:tr>
        <w:tblPrEx>
          <w:tblLayout w:type="fixed"/>
          <w:tblCellMar>
            <w:top w:w="0" w:type="dxa"/>
            <w:left w:w="28" w:type="dxa"/>
            <w:bottom w:w="0" w:type="dxa"/>
            <w:right w:w="28" w:type="dxa"/>
          </w:tblCellMar>
        </w:tblPrEx>
        <w:trPr>
          <w:trHeight w:val="1107"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重点工作办结率（10分）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 xml:space="preserve"> 10</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部门年度重点工作实际完成数与交办或下达数的比率，用以反映部门对重点工作的办理落实程度。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重点工作办结率=（重点工作实际完成数/交办或下达数）×100%。实际得分=办结率*10分</w:t>
            </w:r>
          </w:p>
        </w:tc>
      </w:tr>
      <w:tr>
        <w:tblPrEx>
          <w:tblLayout w:type="fixed"/>
          <w:tblCellMar>
            <w:top w:w="0" w:type="dxa"/>
            <w:left w:w="28" w:type="dxa"/>
            <w:bottom w:w="0" w:type="dxa"/>
            <w:right w:w="28" w:type="dxa"/>
          </w:tblCellMar>
        </w:tblPrEx>
        <w:trPr>
          <w:trHeight w:val="552"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效   果（20分）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履职</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效益（20分）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经济效益（5分）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 xml:space="preserve"> 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部门履行职责对经济发展所带来的直接或间接影响。</w:t>
            </w:r>
          </w:p>
        </w:tc>
        <w:tc>
          <w:tcPr>
            <w:tcW w:w="3417"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按经济效益实现程度计算得分（5分）；按社会效益实现程度计算得分（5分）；按生态效益实现程度计算得分（5分）</w:t>
            </w:r>
          </w:p>
        </w:tc>
      </w:tr>
      <w:tr>
        <w:tblPrEx>
          <w:tblLayout w:type="fixed"/>
          <w:tblCellMar>
            <w:top w:w="0" w:type="dxa"/>
            <w:left w:w="28" w:type="dxa"/>
            <w:bottom w:w="0" w:type="dxa"/>
            <w:right w:w="28" w:type="dxa"/>
          </w:tblCellMar>
        </w:tblPrEx>
        <w:trPr>
          <w:trHeight w:val="54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社会效益（5分）</w:t>
            </w:r>
          </w:p>
        </w:tc>
        <w:tc>
          <w:tcPr>
            <w:tcW w:w="765" w:type="dxa"/>
            <w:tcBorders>
              <w:top w:val="single" w:color="auto" w:sz="4" w:space="0"/>
              <w:left w:val="nil"/>
              <w:bottom w:val="single" w:color="auto" w:sz="4" w:space="0"/>
              <w:right w:val="single" w:color="auto" w:sz="4" w:space="0"/>
            </w:tcBorders>
            <w:vAlign w:val="top"/>
          </w:tcPr>
          <w:p>
            <w:pPr>
              <w:tabs>
                <w:tab w:val="left" w:pos="2604"/>
              </w:tabs>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 xml:space="preserve"> 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部门履行职责对社会发展所带来的直接或间接影响。</w:t>
            </w:r>
          </w:p>
        </w:tc>
        <w:tc>
          <w:tcPr>
            <w:tcW w:w="341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r>
      <w:tr>
        <w:tblPrEx>
          <w:tblLayout w:type="fixed"/>
          <w:tblCellMar>
            <w:top w:w="0" w:type="dxa"/>
            <w:left w:w="28" w:type="dxa"/>
            <w:bottom w:w="0" w:type="dxa"/>
            <w:right w:w="28" w:type="dxa"/>
          </w:tblCellMar>
        </w:tblPrEx>
        <w:trPr>
          <w:trHeight w:val="557"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生态效益（5分）</w:t>
            </w:r>
          </w:p>
        </w:tc>
        <w:tc>
          <w:tcPr>
            <w:tcW w:w="765" w:type="dxa"/>
            <w:tcBorders>
              <w:top w:val="single" w:color="auto" w:sz="4" w:space="0"/>
              <w:left w:val="nil"/>
              <w:bottom w:val="single" w:color="auto" w:sz="4" w:space="0"/>
              <w:right w:val="single" w:color="auto" w:sz="4" w:space="0"/>
            </w:tcBorders>
            <w:vAlign w:val="top"/>
          </w:tcPr>
          <w:p>
            <w:pPr>
              <w:tabs>
                <w:tab w:val="left" w:pos="2604"/>
              </w:tabs>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 xml:space="preserve"> 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部门履行职责对生态环境所带来的直接或间接影响。</w:t>
            </w:r>
          </w:p>
        </w:tc>
        <w:tc>
          <w:tcPr>
            <w:tcW w:w="341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r>
      <w:tr>
        <w:tblPrEx>
          <w:tblLayout w:type="fixed"/>
          <w:tblCellMar>
            <w:top w:w="0" w:type="dxa"/>
            <w:left w:w="28" w:type="dxa"/>
            <w:bottom w:w="0" w:type="dxa"/>
            <w:right w:w="28" w:type="dxa"/>
          </w:tblCellMar>
        </w:tblPrEx>
        <w:trPr>
          <w:trHeight w:val="901"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社会公众或服务对象满意度（5分）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 xml:space="preserve"> 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社会公众或部门的服务对象对部门履职效果的满意程度。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按收集到的服务对象的满意率计算得分（5分）</w:t>
            </w:r>
          </w:p>
        </w:tc>
      </w:tr>
      <w:tr>
        <w:tblPrEx>
          <w:tblLayout w:type="fixed"/>
          <w:tblCellMar>
            <w:top w:w="0" w:type="dxa"/>
            <w:left w:w="28" w:type="dxa"/>
            <w:bottom w:w="0" w:type="dxa"/>
            <w:right w:w="28" w:type="dxa"/>
          </w:tblCellMar>
        </w:tblPrEx>
        <w:trPr>
          <w:trHeight w:val="1247" w:hRule="atLeast"/>
          <w:jc w:val="center"/>
        </w:trPr>
        <w:tc>
          <w:tcPr>
            <w:tcW w:w="220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lang w:eastAsia="zh-CN"/>
              </w:rPr>
            </w:pPr>
            <w:r>
              <w:rPr>
                <w:rFonts w:hint="eastAsia" w:ascii="仿宋_GB2312" w:hAnsi="仿宋_GB2312" w:cs="仿宋_GB2312"/>
                <w:sz w:val="21"/>
                <w:szCs w:val="21"/>
                <w:lang w:eastAsia="zh-CN"/>
              </w:rPr>
              <w:t>合计</w:t>
            </w:r>
          </w:p>
        </w:tc>
        <w:tc>
          <w:tcPr>
            <w:tcW w:w="76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98</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p>
        </w:tc>
        <w:tc>
          <w:tcPr>
            <w:tcW w:w="3417"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kern w:val="0"/>
                <w:sz w:val="21"/>
                <w:szCs w:val="21"/>
              </w:rPr>
            </w:pPr>
          </w:p>
        </w:tc>
      </w:tr>
    </w:tbl>
    <w:p>
      <w:pPr>
        <w:rPr>
          <w:rFonts w:hint="eastAsia" w:ascii="仿宋_GB2312" w:hAnsi="仿宋_GB2312" w:eastAsia="仿宋_GB2312" w:cs="仿宋_GB2312"/>
          <w:sz w:val="24"/>
          <w:szCs w:val="24"/>
        </w:rPr>
      </w:pPr>
    </w:p>
    <w:sectPr>
      <w:footerReference r:id="rId3" w:type="default"/>
      <w:pgSz w:w="11906" w:h="16838"/>
      <w:pgMar w:top="1723" w:right="1800" w:bottom="1723"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3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0F03D1"/>
    <w:rsid w:val="132E4195"/>
    <w:rsid w:val="3C37416A"/>
    <w:rsid w:val="45FD6295"/>
    <w:rsid w:val="4A1F22B8"/>
    <w:rsid w:val="5A103672"/>
    <w:rsid w:val="5AC14617"/>
    <w:rsid w:val="6D321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Administrator</cp:lastModifiedBy>
  <dcterms:modified xsi:type="dcterms:W3CDTF">2019-04-01T01:44:38Z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