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sz w:val="44"/>
          <w:szCs w:val="44"/>
        </w:rPr>
      </w:pPr>
      <w:r>
        <w:rPr>
          <w:rFonts w:hint="eastAsia" w:ascii="黑体" w:hAnsi="黑体" w:eastAsia="黑体"/>
          <w:sz w:val="44"/>
          <w:szCs w:val="44"/>
        </w:rPr>
        <w:t>招商引资工作经费、招商推介会活动经费</w:t>
      </w:r>
    </w:p>
    <w:p>
      <w:pPr>
        <w:spacing w:line="600" w:lineRule="exact"/>
        <w:jc w:val="center"/>
        <w:rPr>
          <w:rFonts w:ascii="黑体" w:hAnsi="黑体" w:eastAsia="黑体"/>
          <w:sz w:val="44"/>
          <w:szCs w:val="44"/>
        </w:rPr>
      </w:pPr>
      <w:r>
        <w:rPr>
          <w:rFonts w:ascii="黑体" w:hAnsi="黑体" w:eastAsia="黑体"/>
          <w:sz w:val="44"/>
          <w:szCs w:val="44"/>
        </w:rPr>
        <w:t>项目支出绩效</w:t>
      </w:r>
      <w:r>
        <w:rPr>
          <w:rFonts w:hint="eastAsia" w:ascii="黑体" w:hAnsi="黑体" w:eastAsia="黑体"/>
          <w:sz w:val="44"/>
          <w:szCs w:val="44"/>
        </w:rPr>
        <w:t>评价</w:t>
      </w:r>
      <w:r>
        <w:rPr>
          <w:rFonts w:ascii="黑体" w:hAnsi="黑体" w:eastAsia="黑体"/>
          <w:sz w:val="44"/>
          <w:szCs w:val="44"/>
        </w:rPr>
        <w:t>报告</w:t>
      </w:r>
    </w:p>
    <w:p>
      <w:pPr>
        <w:spacing w:line="560" w:lineRule="exact"/>
        <w:ind w:firstLine="632" w:firstLineChars="200"/>
        <w:jc w:val="center"/>
        <w:rPr>
          <w:rFonts w:ascii="黑体" w:hAnsi="黑体" w:eastAsia="黑体"/>
          <w:szCs w:val="32"/>
        </w:rPr>
      </w:pPr>
    </w:p>
    <w:p>
      <w:pPr>
        <w:spacing w:line="560" w:lineRule="exact"/>
        <w:ind w:firstLine="632" w:firstLineChars="200"/>
        <w:rPr>
          <w:rFonts w:ascii="仿宋" w:hAnsi="仿宋" w:eastAsia="仿宋"/>
          <w:szCs w:val="32"/>
        </w:rPr>
      </w:pPr>
      <w:r>
        <w:rPr>
          <w:rFonts w:hint="eastAsia" w:ascii="仿宋" w:hAnsi="仿宋" w:eastAsia="仿宋"/>
          <w:szCs w:val="32"/>
        </w:rPr>
        <w:t>一、基本情况</w:t>
      </w:r>
    </w:p>
    <w:p>
      <w:pPr>
        <w:spacing w:line="560" w:lineRule="exact"/>
        <w:ind w:firstLine="632" w:firstLineChars="200"/>
        <w:outlineLvl w:val="0"/>
        <w:rPr>
          <w:rFonts w:ascii="仿宋" w:hAnsi="仿宋" w:eastAsia="仿宋"/>
          <w:szCs w:val="32"/>
        </w:rPr>
      </w:pPr>
      <w:r>
        <w:rPr>
          <w:rFonts w:hint="eastAsia" w:ascii="仿宋" w:hAnsi="仿宋" w:eastAsia="仿宋" w:cs="宋体"/>
          <w:szCs w:val="32"/>
        </w:rPr>
        <w:t>（一）项目概况</w:t>
      </w:r>
    </w:p>
    <w:p>
      <w:pPr>
        <w:shd w:val="clear" w:color="auto" w:fill="FFFFFF"/>
        <w:spacing w:line="560" w:lineRule="exact"/>
        <w:ind w:firstLine="632" w:firstLineChars="200"/>
        <w:rPr>
          <w:rFonts w:ascii="仿宋" w:hAnsi="仿宋" w:eastAsia="仿宋"/>
          <w:szCs w:val="32"/>
        </w:rPr>
      </w:pPr>
      <w:r>
        <w:rPr>
          <w:rFonts w:hint="eastAsia" w:ascii="仿宋" w:hAnsi="仿宋" w:eastAsia="仿宋" w:cs="宋体"/>
          <w:szCs w:val="32"/>
        </w:rPr>
        <w:t>为确保2018年我区招商引资工作、招商推介会工作正常开展，市级下达呈贡区年度招商引资目标任务顺利完成，2018年预算安排招商引资工作经费</w:t>
      </w:r>
      <w:r>
        <w:rPr>
          <w:rFonts w:hint="eastAsia" w:ascii="仿宋" w:hAnsi="仿宋" w:eastAsia="仿宋" w:cs="宋体"/>
          <w:szCs w:val="32"/>
          <w:lang w:val="en-US" w:eastAsia="zh-CN"/>
        </w:rPr>
        <w:t>70</w:t>
      </w:r>
      <w:r>
        <w:rPr>
          <w:rFonts w:hint="eastAsia" w:ascii="仿宋" w:hAnsi="仿宋" w:eastAsia="仿宋" w:cs="宋体"/>
          <w:szCs w:val="32"/>
        </w:rPr>
        <w:t>万元、招商推会会活动经费</w:t>
      </w:r>
      <w:r>
        <w:rPr>
          <w:rFonts w:hint="eastAsia" w:ascii="仿宋" w:hAnsi="仿宋" w:eastAsia="仿宋" w:cs="宋体"/>
          <w:szCs w:val="32"/>
          <w:lang w:val="en-US" w:eastAsia="zh-CN"/>
        </w:rPr>
        <w:t>50</w:t>
      </w:r>
      <w:r>
        <w:rPr>
          <w:rFonts w:hint="eastAsia" w:ascii="仿宋" w:hAnsi="仿宋" w:eastAsia="仿宋" w:cs="宋体"/>
          <w:szCs w:val="32"/>
        </w:rPr>
        <w:t>万元。主要用于来呈贡招商考察招商引资企业接待、洽谈等工作；组织参加省、市全年安排的招商会议活动、小分队外出招商；招商宣传资料制作等与招商引资相关工作支出。</w:t>
      </w:r>
    </w:p>
    <w:p>
      <w:pPr>
        <w:spacing w:line="560" w:lineRule="exact"/>
        <w:ind w:firstLine="632" w:firstLineChars="200"/>
        <w:rPr>
          <w:rFonts w:ascii="仿宋" w:hAnsi="仿宋" w:eastAsia="仿宋" w:cs="宋体"/>
          <w:szCs w:val="32"/>
        </w:rPr>
      </w:pPr>
      <w:r>
        <w:rPr>
          <w:rFonts w:hint="eastAsia" w:ascii="仿宋" w:hAnsi="仿宋" w:eastAsia="仿宋" w:cs="宋体"/>
          <w:szCs w:val="32"/>
        </w:rPr>
        <w:t>（二）项目绩效目标</w:t>
      </w:r>
    </w:p>
    <w:p>
      <w:pPr>
        <w:spacing w:line="560" w:lineRule="exact"/>
        <w:ind w:firstLine="632" w:firstLineChars="200"/>
        <w:rPr>
          <w:rFonts w:ascii="仿宋" w:hAnsi="仿宋" w:eastAsia="仿宋" w:cs="仿宋_GB2312"/>
          <w:szCs w:val="32"/>
        </w:rPr>
      </w:pPr>
      <w:r>
        <w:rPr>
          <w:rFonts w:ascii="仿宋" w:hAnsi="仿宋" w:eastAsia="仿宋"/>
          <w:szCs w:val="32"/>
        </w:rPr>
        <w:t>1.</w:t>
      </w:r>
      <w:r>
        <w:rPr>
          <w:rFonts w:hint="eastAsia" w:ascii="仿宋" w:hAnsi="仿宋" w:eastAsia="仿宋"/>
          <w:szCs w:val="32"/>
        </w:rPr>
        <w:t>项目绩效总目标。完成</w:t>
      </w:r>
      <w:r>
        <w:rPr>
          <w:rFonts w:hint="eastAsia" w:ascii="仿宋" w:hAnsi="仿宋" w:eastAsia="仿宋" w:cs="宋体"/>
          <w:szCs w:val="32"/>
        </w:rPr>
        <w:t>2</w:t>
      </w:r>
      <w:r>
        <w:rPr>
          <w:rFonts w:hint="eastAsia" w:ascii="仿宋" w:hAnsi="仿宋" w:eastAsia="仿宋" w:cs="仿宋_GB2312"/>
          <w:szCs w:val="32"/>
        </w:rPr>
        <w:t>018年市级下达呈贡招商引资市外内资63亿元人民币，省外内资63亿元，外资2500万美元的目标任务。</w:t>
      </w:r>
    </w:p>
    <w:p>
      <w:pPr>
        <w:spacing w:line="560" w:lineRule="exact"/>
        <w:ind w:firstLine="632" w:firstLineChars="200"/>
        <w:rPr>
          <w:rFonts w:ascii="仿宋" w:hAnsi="仿宋" w:eastAsia="仿宋" w:cs="仿宋_GB2312"/>
          <w:szCs w:val="32"/>
        </w:rPr>
      </w:pPr>
      <w:r>
        <w:rPr>
          <w:rFonts w:ascii="仿宋" w:hAnsi="仿宋" w:eastAsia="仿宋"/>
          <w:szCs w:val="32"/>
        </w:rPr>
        <w:t>2.</w:t>
      </w:r>
      <w:r>
        <w:rPr>
          <w:rFonts w:hint="eastAsia" w:ascii="仿宋" w:hAnsi="仿宋" w:eastAsia="仿宋"/>
          <w:szCs w:val="32"/>
        </w:rPr>
        <w:t>项目绩效阶段性目标。</w:t>
      </w:r>
      <w:r>
        <w:rPr>
          <w:rFonts w:hint="eastAsia" w:ascii="仿宋" w:hAnsi="仿宋" w:eastAsia="仿宋" w:cs="仿宋_GB2312"/>
          <w:szCs w:val="32"/>
        </w:rPr>
        <w:t>经市考核办认定，2018年呈贡区实际利用外资5362.19万美元，</w:t>
      </w:r>
      <w:r>
        <w:rPr>
          <w:rFonts w:hint="eastAsia" w:ascii="仿宋" w:hAnsi="仿宋" w:eastAsia="仿宋" w:cs="仿宋_GB2312"/>
          <w:snapToGrid w:val="0"/>
          <w:kern w:val="0"/>
          <w:szCs w:val="32"/>
        </w:rPr>
        <w:t>完成市级下达呈贡区全年目标任务的214.49</w:t>
      </w:r>
      <w:r>
        <w:rPr>
          <w:rFonts w:ascii="仿宋" w:hAnsi="仿宋" w:eastAsia="仿宋" w:cs="仿宋_GB2312"/>
          <w:snapToGrid w:val="0"/>
          <w:kern w:val="0"/>
          <w:szCs w:val="32"/>
        </w:rPr>
        <w:t>%</w:t>
      </w:r>
      <w:r>
        <w:rPr>
          <w:rFonts w:hint="eastAsia" w:ascii="仿宋" w:hAnsi="仿宋" w:eastAsia="仿宋" w:cs="仿宋_GB2312"/>
          <w:snapToGrid w:val="0"/>
          <w:kern w:val="0"/>
          <w:szCs w:val="32"/>
        </w:rPr>
        <w:t>；引进市外内资69.03亿元，省外内资64.82亿元，完成市级下达呈贡区全年目标任务的</w:t>
      </w:r>
      <w:r>
        <w:rPr>
          <w:rFonts w:hint="eastAsia" w:ascii="仿宋" w:hAnsi="仿宋" w:eastAsia="仿宋" w:cs="仿宋_GB2312"/>
          <w:szCs w:val="32"/>
        </w:rPr>
        <w:t>109.57%和102.89%。圆满完成全年招商引资目标任务。</w:t>
      </w:r>
    </w:p>
    <w:p>
      <w:pPr>
        <w:topLinePunct/>
        <w:spacing w:line="560" w:lineRule="exact"/>
        <w:ind w:firstLine="632" w:firstLineChars="200"/>
        <w:rPr>
          <w:rFonts w:ascii="仿宋" w:hAnsi="仿宋" w:eastAsia="仿宋"/>
          <w:szCs w:val="32"/>
        </w:rPr>
      </w:pPr>
      <w:r>
        <w:rPr>
          <w:rFonts w:hint="eastAsia" w:ascii="仿宋" w:hAnsi="仿宋" w:eastAsia="仿宋"/>
          <w:szCs w:val="32"/>
        </w:rPr>
        <w:t>二、项目单位绩效报告情况</w:t>
      </w:r>
    </w:p>
    <w:p>
      <w:pPr>
        <w:spacing w:line="560" w:lineRule="exact"/>
        <w:ind w:firstLine="632" w:firstLineChars="200"/>
        <w:rPr>
          <w:rFonts w:ascii="仿宋" w:hAnsi="仿宋" w:eastAsia="仿宋" w:cs="仿宋_GB2312"/>
          <w:szCs w:val="32"/>
        </w:rPr>
      </w:pPr>
      <w:r>
        <w:rPr>
          <w:rFonts w:hint="eastAsia" w:ascii="仿宋" w:hAnsi="仿宋" w:eastAsia="仿宋"/>
          <w:szCs w:val="32"/>
        </w:rPr>
        <w:t>根据呈贡区财政局《关于开展2018年度区级预算支出绩效自评工作的通知》(呈财〔2019〕21号)文件要求，我局及时</w:t>
      </w:r>
      <w:r>
        <w:rPr>
          <w:rFonts w:hint="eastAsia" w:ascii="仿宋" w:hAnsi="仿宋" w:eastAsia="仿宋" w:cs="仿宋_GB2312"/>
          <w:szCs w:val="32"/>
        </w:rPr>
        <w:t>按要求对该项目进行自评并形成书面报告，同时对项目执行情况进行了打分，自评分为97分。</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三、绩效评价工作情况</w:t>
      </w:r>
    </w:p>
    <w:p>
      <w:pPr>
        <w:spacing w:line="560" w:lineRule="exact"/>
        <w:ind w:firstLine="632" w:firstLineChars="200"/>
        <w:rPr>
          <w:rFonts w:ascii="仿宋" w:hAnsi="仿宋" w:eastAsia="仿宋"/>
          <w:szCs w:val="32"/>
        </w:rPr>
      </w:pPr>
      <w:r>
        <w:rPr>
          <w:rFonts w:hint="eastAsia" w:ascii="仿宋" w:hAnsi="仿宋" w:eastAsia="仿宋"/>
          <w:szCs w:val="32"/>
        </w:rPr>
        <w:t>（一）绩效评价目的</w:t>
      </w:r>
    </w:p>
    <w:p>
      <w:pPr>
        <w:spacing w:line="560" w:lineRule="exact"/>
        <w:ind w:firstLine="632" w:firstLineChars="200"/>
        <w:rPr>
          <w:rFonts w:ascii="仿宋" w:hAnsi="仿宋" w:eastAsia="仿宋"/>
          <w:szCs w:val="32"/>
        </w:rPr>
      </w:pPr>
      <w:r>
        <w:rPr>
          <w:rFonts w:hint="eastAsia" w:ascii="仿宋" w:hAnsi="仿宋" w:eastAsia="仿宋"/>
          <w:szCs w:val="32"/>
        </w:rPr>
        <w:t>进一步强化预算绩效管理，强化支出责任，提高财政资金使用效益。为今后预算安排提供决策支持，进一步增强本单位支出管理的责任，优化支出结构，提升预算管理水平，保障更好地履行职责，提高公务服务质量和财政资金使用效益，促进当地经济健康发展。</w:t>
      </w:r>
    </w:p>
    <w:p>
      <w:pPr>
        <w:spacing w:line="560" w:lineRule="exact"/>
        <w:ind w:firstLine="632" w:firstLineChars="200"/>
        <w:rPr>
          <w:rFonts w:ascii="仿宋" w:hAnsi="仿宋" w:eastAsia="仿宋"/>
          <w:szCs w:val="32"/>
        </w:rPr>
      </w:pPr>
      <w:r>
        <w:rPr>
          <w:rFonts w:hint="eastAsia" w:ascii="仿宋" w:hAnsi="仿宋" w:eastAsia="仿宋"/>
          <w:szCs w:val="32"/>
        </w:rPr>
        <w:t>（二）绩效评价原则、评价指标体系、评价方法</w:t>
      </w:r>
    </w:p>
    <w:p>
      <w:pPr>
        <w:spacing w:line="560" w:lineRule="exact"/>
        <w:ind w:firstLine="632" w:firstLineChars="200"/>
        <w:rPr>
          <w:rFonts w:ascii="仿宋" w:hAnsi="仿宋" w:eastAsia="仿宋" w:cs="仿宋_GB2312"/>
          <w:szCs w:val="32"/>
        </w:rPr>
      </w:pPr>
      <w:r>
        <w:rPr>
          <w:rFonts w:hint="eastAsia" w:ascii="仿宋" w:hAnsi="仿宋" w:eastAsia="仿宋"/>
          <w:szCs w:val="32"/>
        </w:rPr>
        <w:t>按照科学规范、客观公正、合理合规的原则，我单位对招商引资工作经费、招商推介会活动经费支出的经济性、效率性和效益性进行了合理安排，保证财政资金服务于政府职能，避免财政资源的浪费。</w:t>
      </w:r>
    </w:p>
    <w:p>
      <w:pPr>
        <w:shd w:val="clear" w:color="auto" w:fill="FFFFFF"/>
        <w:spacing w:line="560" w:lineRule="exact"/>
        <w:ind w:firstLine="632" w:firstLineChars="200"/>
        <w:rPr>
          <w:rFonts w:ascii="仿宋" w:hAnsi="仿宋" w:eastAsia="仿宋" w:cs="宋体"/>
          <w:bCs/>
          <w:szCs w:val="32"/>
        </w:rPr>
      </w:pPr>
      <w:r>
        <w:rPr>
          <w:rFonts w:hint="eastAsia" w:ascii="仿宋" w:hAnsi="仿宋" w:eastAsia="仿宋"/>
          <w:szCs w:val="32"/>
        </w:rPr>
        <w:t>（三）绩效评价工作过程</w:t>
      </w:r>
    </w:p>
    <w:p>
      <w:pPr>
        <w:spacing w:line="560" w:lineRule="exact"/>
        <w:ind w:firstLine="632" w:firstLineChars="200"/>
        <w:rPr>
          <w:rFonts w:ascii="仿宋" w:hAnsi="仿宋" w:eastAsia="仿宋"/>
          <w:szCs w:val="32"/>
        </w:rPr>
      </w:pPr>
      <w:r>
        <w:rPr>
          <w:rFonts w:ascii="仿宋" w:hAnsi="仿宋" w:eastAsia="仿宋"/>
          <w:szCs w:val="32"/>
        </w:rPr>
        <w:t>1.</w:t>
      </w:r>
      <w:r>
        <w:rPr>
          <w:rFonts w:hint="eastAsia" w:ascii="仿宋" w:hAnsi="仿宋" w:eastAsia="仿宋"/>
          <w:szCs w:val="32"/>
        </w:rPr>
        <w:t>前期准备。根据2018年市级下达呈贡区招商引资目标任务，对呈贡区招商引资工作制定工作计划，有序开展项目洽谈、项目服务、项目包装及招商推介等工作。</w:t>
      </w:r>
    </w:p>
    <w:p>
      <w:pPr>
        <w:spacing w:line="560" w:lineRule="exact"/>
        <w:ind w:firstLine="632" w:firstLineChars="200"/>
        <w:rPr>
          <w:rFonts w:ascii="仿宋" w:hAnsi="仿宋" w:eastAsia="仿宋"/>
          <w:szCs w:val="32"/>
        </w:rPr>
      </w:pPr>
      <w:r>
        <w:rPr>
          <w:rFonts w:ascii="仿宋" w:hAnsi="仿宋" w:eastAsia="仿宋"/>
          <w:szCs w:val="32"/>
        </w:rPr>
        <w:t>2.</w:t>
      </w:r>
      <w:r>
        <w:rPr>
          <w:rFonts w:hint="eastAsia" w:ascii="仿宋" w:hAnsi="仿宋" w:eastAsia="仿宋"/>
          <w:szCs w:val="32"/>
        </w:rPr>
        <w:t>组织实施。按照工作职能，安排专人与</w:t>
      </w:r>
      <w:r>
        <w:rPr>
          <w:rFonts w:hint="eastAsia" w:ascii="仿宋" w:hAnsi="仿宋" w:eastAsia="仿宋" w:cs="宋体"/>
          <w:szCs w:val="32"/>
        </w:rPr>
        <w:t>来呈贡招商考察的项目开展洽谈，</w:t>
      </w:r>
      <w:r>
        <w:rPr>
          <w:rFonts w:hint="eastAsia" w:ascii="仿宋" w:hAnsi="仿宋" w:eastAsia="仿宋"/>
          <w:szCs w:val="32"/>
        </w:rPr>
        <w:t>对外发布区政府计划引进外资项目和招商意向、引资政策、对投资商进行政策宣传服务；</w:t>
      </w:r>
      <w:r>
        <w:rPr>
          <w:rFonts w:hint="eastAsia" w:ascii="仿宋" w:hAnsi="仿宋" w:eastAsia="仿宋" w:cs="宋体"/>
          <w:szCs w:val="32"/>
        </w:rPr>
        <w:t>组织参加省、市全年安排的各类招商会议（活动）、小分队外出招商及其他招商引资相关工作；</w:t>
      </w:r>
      <w:r>
        <w:rPr>
          <w:rFonts w:hint="eastAsia" w:ascii="仿宋" w:hAnsi="仿宋" w:eastAsia="仿宋"/>
          <w:szCs w:val="32"/>
        </w:rPr>
        <w:t>负责做好招商项目策划、包装、推介、洽谈，负责招商引资项目库的建立及管理。</w:t>
      </w:r>
    </w:p>
    <w:p>
      <w:pPr>
        <w:spacing w:line="560" w:lineRule="exact"/>
        <w:ind w:firstLine="632" w:firstLineChars="200"/>
        <w:rPr>
          <w:rFonts w:ascii="仿宋" w:hAnsi="仿宋" w:eastAsia="仿宋" w:cs="仿宋_GB2312"/>
          <w:szCs w:val="32"/>
        </w:rPr>
      </w:pPr>
      <w:r>
        <w:rPr>
          <w:rFonts w:ascii="仿宋" w:hAnsi="仿宋" w:eastAsia="仿宋"/>
          <w:szCs w:val="32"/>
        </w:rPr>
        <w:t>3.</w:t>
      </w:r>
      <w:r>
        <w:rPr>
          <w:rFonts w:hint="eastAsia" w:ascii="仿宋" w:hAnsi="仿宋" w:eastAsia="仿宋"/>
          <w:szCs w:val="32"/>
        </w:rPr>
        <w:t>分析评价。通过不断努力，近年来，招商引资工作成效显著。</w:t>
      </w:r>
      <w:r>
        <w:rPr>
          <w:rFonts w:hint="eastAsia" w:ascii="仿宋" w:hAnsi="仿宋" w:eastAsia="仿宋" w:cs="仿宋_GB2312"/>
          <w:b/>
          <w:szCs w:val="32"/>
        </w:rPr>
        <w:t>一是招商投资总量持续增长，</w:t>
      </w:r>
      <w:r>
        <w:rPr>
          <w:rFonts w:hint="eastAsia" w:ascii="仿宋" w:hAnsi="仿宋" w:eastAsia="仿宋" w:cs="仿宋_GB2312"/>
          <w:szCs w:val="32"/>
        </w:rPr>
        <w:t>招商引资项目对投资拉动发挥了较大作用，为呈贡区经济社会发展注入了活力。经市级考核，2018年呈贡区招商引资工作排名全市第一板块第一名。</w:t>
      </w:r>
      <w:r>
        <w:rPr>
          <w:rFonts w:hint="eastAsia" w:ascii="仿宋" w:hAnsi="仿宋" w:eastAsia="仿宋" w:cs="仿宋_GB2312"/>
          <w:b/>
          <w:szCs w:val="32"/>
        </w:rPr>
        <w:t>二是招大引强成效明显。</w:t>
      </w:r>
      <w:r>
        <w:rPr>
          <w:rFonts w:hint="eastAsia" w:ascii="仿宋" w:hAnsi="仿宋" w:eastAsia="仿宋" w:cs="仿宋_GB2312"/>
          <w:szCs w:val="32"/>
        </w:rPr>
        <w:t>到呈贡投资的</w:t>
      </w:r>
      <w:r>
        <w:rPr>
          <w:rFonts w:hint="eastAsia" w:ascii="仿宋" w:hAnsi="仿宋" w:eastAsia="仿宋" w:cs="仿宋_GB2312"/>
          <w:bCs/>
          <w:spacing w:val="-6"/>
          <w:szCs w:val="32"/>
        </w:rPr>
        <w:t>港澳台、京津冀、长三角、珠三角等地区的</w:t>
      </w:r>
      <w:r>
        <w:rPr>
          <w:rFonts w:hint="eastAsia" w:ascii="仿宋" w:hAnsi="仿宋" w:eastAsia="仿宋" w:cs="仿宋_GB2312"/>
          <w:szCs w:val="32"/>
        </w:rPr>
        <w:t>知名企业逐年增多，世界500强、中国500强、行业龙头企业落户呈贡的数量和质量不断提升，产业聚集效应初步显现。中铁西南区域总部、中交云南总部、中海油云南总部等世界500强总部落户呈贡；中国500强华侨城集团两个子公司在呈贡区完成工商登记；康美药业、鹏瑞利集团等大健康及生物医药产业进入；新城控股集团吾悦广场、置信银河广场、涌鑫哈佛中心等城市商业综合体项目投入建设或运营；启明星辰西南区域总部基地、优必选智能机器人产业园等信息产业项目启动建设；蓝光欢乐城、华侨城集团项目等形成文旅项目聚集。</w:t>
      </w:r>
      <w:r>
        <w:rPr>
          <w:rFonts w:hint="eastAsia" w:ascii="仿宋" w:hAnsi="仿宋" w:eastAsia="仿宋" w:cs="仿宋_GB2312"/>
          <w:b/>
          <w:szCs w:val="32"/>
        </w:rPr>
        <w:t>三是招商项目主导产业发展壮大。</w:t>
      </w:r>
      <w:r>
        <w:rPr>
          <w:rFonts w:hint="eastAsia" w:ascii="仿宋" w:hAnsi="仿宋" w:eastAsia="仿宋" w:cs="仿宋_GB2312"/>
          <w:szCs w:val="32"/>
        </w:rPr>
        <w:t>按照区委、区政府工作安排，我局着力在大数据、大生态、大健康、大交通、大教育、大文创、大旅游等七大重点领域开展招商引资工作。2018年，新引进华侨城集团第二总部项目，加快构建高铁经济新业态；新引进吾悦广场、万豪酒店等项目，提升呈贡区商业品质；新引进紫光芯云产业园、科技创新中心知商谷等项目，大力发展大数据信息产业。</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四、绩效评价指标分析情况</w:t>
      </w:r>
    </w:p>
    <w:p>
      <w:pPr>
        <w:spacing w:line="560" w:lineRule="exact"/>
        <w:ind w:firstLine="632" w:firstLineChars="200"/>
        <w:rPr>
          <w:rFonts w:ascii="仿宋" w:hAnsi="仿宋" w:eastAsia="仿宋"/>
          <w:szCs w:val="32"/>
        </w:rPr>
      </w:pPr>
      <w:r>
        <w:rPr>
          <w:rFonts w:hint="eastAsia" w:ascii="仿宋" w:hAnsi="仿宋" w:eastAsia="仿宋"/>
          <w:szCs w:val="32"/>
        </w:rPr>
        <w:t>（一）项目资金情况分析</w:t>
      </w:r>
    </w:p>
    <w:p>
      <w:pPr>
        <w:spacing w:line="560" w:lineRule="exact"/>
        <w:ind w:firstLine="632" w:firstLineChars="200"/>
        <w:rPr>
          <w:rFonts w:hint="eastAsia" w:ascii="仿宋" w:hAnsi="仿宋" w:eastAsia="仿宋"/>
          <w:szCs w:val="32"/>
          <w:lang w:eastAsia="zh-CN"/>
        </w:rPr>
      </w:pPr>
      <w:r>
        <w:rPr>
          <w:rFonts w:ascii="仿宋" w:hAnsi="仿宋" w:eastAsia="仿宋"/>
          <w:szCs w:val="32"/>
        </w:rPr>
        <w:t>1.</w:t>
      </w:r>
      <w:r>
        <w:rPr>
          <w:rFonts w:hint="eastAsia" w:ascii="仿宋" w:hAnsi="仿宋" w:eastAsia="仿宋"/>
          <w:szCs w:val="32"/>
        </w:rPr>
        <w:t>项目资金到位情况分析。2018年财政共安排招商引资工作经费</w:t>
      </w:r>
      <w:r>
        <w:rPr>
          <w:rFonts w:hint="eastAsia" w:ascii="仿宋" w:hAnsi="仿宋" w:eastAsia="仿宋"/>
          <w:szCs w:val="32"/>
          <w:lang w:val="en-US" w:eastAsia="zh-CN"/>
        </w:rPr>
        <w:t>70</w:t>
      </w:r>
      <w:r>
        <w:rPr>
          <w:rFonts w:hint="eastAsia" w:ascii="仿宋" w:hAnsi="仿宋" w:eastAsia="仿宋"/>
          <w:szCs w:val="32"/>
        </w:rPr>
        <w:t>万元、招商推介会活动经费</w:t>
      </w:r>
      <w:r>
        <w:rPr>
          <w:rFonts w:hint="eastAsia" w:ascii="仿宋" w:hAnsi="仿宋" w:eastAsia="仿宋"/>
          <w:szCs w:val="32"/>
          <w:lang w:val="en-US" w:eastAsia="zh-CN"/>
        </w:rPr>
        <w:t>50</w:t>
      </w:r>
      <w:r>
        <w:rPr>
          <w:rFonts w:hint="eastAsia" w:ascii="仿宋" w:hAnsi="仿宋" w:eastAsia="仿宋"/>
          <w:szCs w:val="32"/>
        </w:rPr>
        <w:t>万元</w:t>
      </w:r>
      <w:r>
        <w:rPr>
          <w:rFonts w:hint="eastAsia" w:ascii="仿宋" w:hAnsi="仿宋" w:eastAsia="仿宋"/>
          <w:szCs w:val="32"/>
          <w:lang w:eastAsia="zh-CN"/>
        </w:rPr>
        <w:t>。</w:t>
      </w:r>
    </w:p>
    <w:p>
      <w:pPr>
        <w:spacing w:line="560" w:lineRule="exact"/>
        <w:ind w:firstLine="632" w:firstLineChars="200"/>
        <w:jc w:val="left"/>
        <w:rPr>
          <w:rFonts w:ascii="仿宋" w:hAnsi="仿宋" w:eastAsia="仿宋" w:cs="宋体"/>
          <w:szCs w:val="32"/>
        </w:rPr>
      </w:pPr>
      <w:r>
        <w:rPr>
          <w:rFonts w:hint="eastAsia" w:ascii="仿宋" w:hAnsi="仿宋" w:eastAsia="仿宋" w:cs="宋体"/>
          <w:szCs w:val="32"/>
        </w:rPr>
        <w:t>2.项目资金使用情况分析。截止2018年12月31日，已使用招商引资工作经费</w:t>
      </w:r>
      <w:r>
        <w:rPr>
          <w:rFonts w:hint="eastAsia" w:ascii="仿宋" w:hAnsi="仿宋" w:eastAsia="仿宋" w:cs="宋体"/>
          <w:szCs w:val="32"/>
          <w:lang w:val="en-US" w:eastAsia="zh-CN"/>
        </w:rPr>
        <w:t>49.78</w:t>
      </w:r>
      <w:r>
        <w:rPr>
          <w:rFonts w:hint="eastAsia" w:ascii="仿宋" w:hAnsi="仿宋" w:eastAsia="仿宋" w:cs="宋体"/>
          <w:szCs w:val="32"/>
        </w:rPr>
        <w:t>万元、招商推介会活动经费</w:t>
      </w:r>
      <w:r>
        <w:rPr>
          <w:rFonts w:hint="eastAsia" w:ascii="仿宋" w:hAnsi="仿宋" w:eastAsia="仿宋" w:cs="宋体"/>
          <w:szCs w:val="32"/>
          <w:lang w:val="en-US" w:eastAsia="zh-CN"/>
        </w:rPr>
        <w:t>9.78</w:t>
      </w:r>
      <w:r>
        <w:rPr>
          <w:rFonts w:hint="eastAsia" w:ascii="仿宋" w:hAnsi="仿宋" w:eastAsia="仿宋" w:cs="宋体"/>
          <w:szCs w:val="32"/>
        </w:rPr>
        <w:t>万元。</w:t>
      </w:r>
      <w:r>
        <w:rPr>
          <w:rFonts w:hint="eastAsia" w:ascii="仿宋" w:hAnsi="仿宋" w:eastAsia="仿宋"/>
          <w:shd w:val="clear" w:color="auto" w:fill="FFFFFF"/>
        </w:rPr>
        <w:t>从资金使用情况看，专项资金保障到位，到位及时；资金均用于开展呈贡区招商引资工作，专款专用率为100%，资金使用合规。</w:t>
      </w:r>
    </w:p>
    <w:p>
      <w:pPr>
        <w:numPr>
          <w:ilvl w:val="0"/>
          <w:numId w:val="1"/>
        </w:numPr>
        <w:spacing w:line="560" w:lineRule="exact"/>
        <w:ind w:firstLine="632" w:firstLineChars="200"/>
        <w:jc w:val="left"/>
        <w:rPr>
          <w:rFonts w:ascii="仿宋" w:hAnsi="仿宋" w:eastAsia="仿宋" w:cs="宋体"/>
          <w:szCs w:val="32"/>
        </w:rPr>
      </w:pPr>
      <w:r>
        <w:rPr>
          <w:rFonts w:hint="eastAsia" w:ascii="仿宋" w:hAnsi="仿宋" w:eastAsia="仿宋" w:cs="宋体"/>
          <w:szCs w:val="32"/>
        </w:rPr>
        <w:t>项目资金管理情况分析。我局制定了财务管理制度、公务接待管理制度、重大事项集体决策制度，项目资金支出时严格按照法律法规有关规定，规范招商引资专项资金的使用和管理，严格财政专项资金的审批拨付程序，实行专款专用，无挤占、挪用、截留等违法违规使用财政专项资金的现象。</w:t>
      </w:r>
    </w:p>
    <w:p>
      <w:pPr>
        <w:spacing w:line="560" w:lineRule="exact"/>
        <w:ind w:firstLine="632" w:firstLineChars="200"/>
        <w:jc w:val="left"/>
        <w:rPr>
          <w:rFonts w:ascii="仿宋" w:hAnsi="仿宋" w:eastAsia="仿宋"/>
          <w:szCs w:val="32"/>
        </w:rPr>
      </w:pPr>
      <w:r>
        <w:rPr>
          <w:rFonts w:hint="eastAsia" w:ascii="仿宋" w:hAnsi="仿宋" w:eastAsia="仿宋"/>
          <w:szCs w:val="32"/>
        </w:rPr>
        <w:t>（二）项目实施情况分析</w:t>
      </w:r>
    </w:p>
    <w:p>
      <w:pPr>
        <w:spacing w:line="560" w:lineRule="exact"/>
        <w:ind w:firstLine="632" w:firstLineChars="200"/>
        <w:rPr>
          <w:rFonts w:ascii="仿宋" w:hAnsi="仿宋" w:eastAsia="仿宋"/>
          <w:szCs w:val="32"/>
        </w:rPr>
      </w:pPr>
      <w:r>
        <w:rPr>
          <w:rFonts w:ascii="仿宋" w:hAnsi="仿宋" w:eastAsia="仿宋"/>
          <w:szCs w:val="32"/>
        </w:rPr>
        <w:t>1.</w:t>
      </w:r>
      <w:r>
        <w:rPr>
          <w:rFonts w:hint="eastAsia" w:ascii="仿宋" w:hAnsi="仿宋" w:eastAsia="仿宋"/>
          <w:szCs w:val="32"/>
        </w:rPr>
        <w:t>项目组织情况分析。</w:t>
      </w:r>
      <w:r>
        <w:rPr>
          <w:rFonts w:hint="eastAsia" w:ascii="仿宋" w:hAnsi="仿宋" w:eastAsia="仿宋" w:cs="宋体"/>
          <w:szCs w:val="32"/>
        </w:rPr>
        <w:t>区经投局按照区财政局布置的部门预算文件精神，根据工作开展需要，上报预算项目及资金。根据相关文件规定，按照2018年招商引资目标任务制定工作计划，</w:t>
      </w:r>
      <w:r>
        <w:rPr>
          <w:rFonts w:hint="eastAsia" w:ascii="仿宋" w:hAnsi="仿宋" w:eastAsia="仿宋"/>
          <w:szCs w:val="32"/>
        </w:rPr>
        <w:t>有序开展项目洽谈、项目服务、项目包装及招商推介等工作。</w:t>
      </w:r>
    </w:p>
    <w:p>
      <w:pPr>
        <w:spacing w:line="560" w:lineRule="exact"/>
        <w:ind w:firstLine="632" w:firstLineChars="200"/>
        <w:rPr>
          <w:rFonts w:ascii="仿宋" w:hAnsi="仿宋" w:eastAsia="仿宋"/>
          <w:szCs w:val="32"/>
        </w:rPr>
      </w:pPr>
      <w:r>
        <w:rPr>
          <w:rFonts w:hint="eastAsia" w:ascii="仿宋" w:hAnsi="仿宋" w:eastAsia="仿宋"/>
          <w:szCs w:val="32"/>
        </w:rPr>
        <w:t>2.项目管理情况分析。2018年，我局根据工作职能，认真</w:t>
      </w:r>
      <w:r>
        <w:rPr>
          <w:rFonts w:hint="eastAsia" w:ascii="仿宋" w:hAnsi="仿宋" w:eastAsia="仿宋" w:cs="宋体"/>
          <w:szCs w:val="32"/>
        </w:rPr>
        <w:t>做好招商引资项目包装、项目洽谈、项目推荐、招商引资信息发布、政策咨询、外出招商等工作，建立招商引资项目库，并及时更新管理；牵头完成招商引资资金到位考核，圆满完成市级下达呈贡区招商引资目标任务。按照财务管理制度，加强资金拨付流程审核，严格专款</w:t>
      </w:r>
      <w:r>
        <w:rPr>
          <w:rFonts w:hint="eastAsia" w:ascii="仿宋" w:hAnsi="仿宋" w:eastAsia="仿宋"/>
          <w:szCs w:val="32"/>
        </w:rPr>
        <w:t>专用，通过资金使用并能产生一定的经济、社会效益。</w:t>
      </w:r>
    </w:p>
    <w:p>
      <w:pPr>
        <w:spacing w:line="560" w:lineRule="exact"/>
        <w:ind w:firstLine="632" w:firstLineChars="200"/>
        <w:rPr>
          <w:rFonts w:ascii="仿宋" w:hAnsi="仿宋" w:eastAsia="仿宋"/>
          <w:szCs w:val="32"/>
        </w:rPr>
      </w:pPr>
      <w:r>
        <w:rPr>
          <w:rFonts w:hint="eastAsia" w:ascii="仿宋" w:hAnsi="仿宋" w:eastAsia="仿宋"/>
          <w:szCs w:val="32"/>
        </w:rPr>
        <w:t>（三）项目绩效情况分析</w:t>
      </w:r>
    </w:p>
    <w:p>
      <w:pPr>
        <w:spacing w:line="560" w:lineRule="exact"/>
        <w:ind w:firstLine="632" w:firstLineChars="200"/>
        <w:rPr>
          <w:rFonts w:ascii="仿宋" w:hAnsi="仿宋" w:eastAsia="仿宋"/>
          <w:szCs w:val="32"/>
        </w:rPr>
      </w:pPr>
      <w:r>
        <w:rPr>
          <w:rFonts w:ascii="仿宋" w:hAnsi="仿宋" w:eastAsia="仿宋"/>
          <w:szCs w:val="32"/>
        </w:rPr>
        <w:t>1.</w:t>
      </w:r>
      <w:r>
        <w:rPr>
          <w:rFonts w:hint="eastAsia" w:ascii="仿宋" w:hAnsi="仿宋" w:eastAsia="仿宋"/>
          <w:szCs w:val="32"/>
        </w:rPr>
        <w:t>项目经济性分析。按照相关文件规定，对项目支出的经费使用情况进行监督检查，超过金额规定的支出委托政府采购中心或有政府采购资质的代理机构采购，项目资金支出时严格按照程序进行决策。</w:t>
      </w:r>
    </w:p>
    <w:p>
      <w:pPr>
        <w:spacing w:line="560" w:lineRule="exact"/>
        <w:ind w:firstLine="632" w:firstLineChars="200"/>
        <w:rPr>
          <w:rFonts w:ascii="仿宋" w:hAnsi="仿宋" w:eastAsia="仿宋"/>
          <w:szCs w:val="32"/>
        </w:rPr>
      </w:pPr>
      <w:r>
        <w:rPr>
          <w:rFonts w:ascii="仿宋" w:hAnsi="仿宋" w:eastAsia="仿宋"/>
          <w:szCs w:val="32"/>
        </w:rPr>
        <w:t>2.</w:t>
      </w:r>
      <w:r>
        <w:rPr>
          <w:rFonts w:hint="eastAsia" w:ascii="仿宋" w:hAnsi="仿宋" w:eastAsia="仿宋"/>
          <w:szCs w:val="32"/>
        </w:rPr>
        <w:t>项目的效率性分析。2018年招商引资工作，按市、区政府规定时限和要求，高质量完成目标任务。</w:t>
      </w:r>
    </w:p>
    <w:p>
      <w:pPr>
        <w:spacing w:line="560" w:lineRule="exact"/>
        <w:ind w:firstLine="632" w:firstLineChars="200"/>
        <w:rPr>
          <w:rFonts w:ascii="仿宋" w:hAnsi="仿宋" w:eastAsia="仿宋"/>
          <w:szCs w:val="32"/>
        </w:rPr>
      </w:pPr>
      <w:r>
        <w:rPr>
          <w:rFonts w:ascii="仿宋" w:hAnsi="仿宋" w:eastAsia="仿宋"/>
          <w:szCs w:val="32"/>
        </w:rPr>
        <w:t>3.</w:t>
      </w:r>
      <w:r>
        <w:rPr>
          <w:rFonts w:hint="eastAsia" w:ascii="仿宋" w:hAnsi="仿宋" w:eastAsia="仿宋"/>
          <w:szCs w:val="32"/>
        </w:rPr>
        <w:t>项目的效益性分析。招商引资工作及招商推介会活动的开展，</w:t>
      </w:r>
      <w:r>
        <w:rPr>
          <w:rFonts w:hint="eastAsia" w:ascii="仿宋" w:hAnsi="仿宋" w:eastAsia="仿宋"/>
          <w:szCs w:val="32"/>
          <w:shd w:val="clear" w:color="auto" w:fill="FFFFFF"/>
        </w:rPr>
        <w:t>吸引了更多优质企业到呈贡区投资兴业，促进全区经济平稳发展。一直以来，我局的招商引资服务工作，</w:t>
      </w:r>
      <w:r>
        <w:rPr>
          <w:rFonts w:hint="eastAsia" w:ascii="仿宋" w:hAnsi="仿宋" w:eastAsia="仿宋"/>
          <w:szCs w:val="32"/>
        </w:rPr>
        <w:t>受到企业普遍好评，不断提升服务对象满意度。经市考核办考核认定，</w:t>
      </w:r>
      <w:r>
        <w:rPr>
          <w:rFonts w:hint="eastAsia" w:ascii="仿宋" w:hAnsi="仿宋" w:eastAsia="仿宋" w:cs="仿宋_GB2312"/>
          <w:szCs w:val="32"/>
        </w:rPr>
        <w:t>2018年呈贡区实际利用外资5362.19万美元，</w:t>
      </w:r>
      <w:r>
        <w:rPr>
          <w:rFonts w:hint="eastAsia" w:ascii="仿宋" w:hAnsi="仿宋" w:eastAsia="仿宋" w:cs="仿宋_GB2312"/>
          <w:snapToGrid w:val="0"/>
          <w:kern w:val="0"/>
          <w:szCs w:val="32"/>
        </w:rPr>
        <w:t>完成市级下达呈贡区全年目标任务</w:t>
      </w:r>
      <w:r>
        <w:rPr>
          <w:rFonts w:hint="eastAsia" w:ascii="仿宋" w:hAnsi="仿宋" w:eastAsia="仿宋"/>
          <w:szCs w:val="32"/>
        </w:rPr>
        <w:t>2500万美元</w:t>
      </w:r>
      <w:r>
        <w:rPr>
          <w:rFonts w:hint="eastAsia" w:ascii="仿宋" w:hAnsi="仿宋" w:eastAsia="仿宋" w:cs="仿宋_GB2312"/>
          <w:snapToGrid w:val="0"/>
          <w:kern w:val="0"/>
          <w:szCs w:val="32"/>
        </w:rPr>
        <w:t>的214.49</w:t>
      </w:r>
      <w:r>
        <w:rPr>
          <w:rFonts w:ascii="仿宋" w:hAnsi="仿宋" w:eastAsia="仿宋" w:cs="仿宋_GB2312"/>
          <w:snapToGrid w:val="0"/>
          <w:kern w:val="0"/>
          <w:szCs w:val="32"/>
        </w:rPr>
        <w:t>%</w:t>
      </w:r>
      <w:r>
        <w:rPr>
          <w:rFonts w:hint="eastAsia" w:ascii="仿宋" w:hAnsi="仿宋" w:eastAsia="仿宋" w:cs="仿宋_GB2312"/>
          <w:snapToGrid w:val="0"/>
          <w:kern w:val="0"/>
          <w:szCs w:val="32"/>
        </w:rPr>
        <w:t>；引进市外内资69.03亿元，省外内资64.82亿元，完成市级下达呈贡区全年目标任务63亿元的</w:t>
      </w:r>
      <w:r>
        <w:rPr>
          <w:rFonts w:hint="eastAsia" w:ascii="仿宋" w:hAnsi="仿宋" w:eastAsia="仿宋" w:cs="仿宋_GB2312"/>
          <w:szCs w:val="32"/>
        </w:rPr>
        <w:t>109.57%和102.89%。</w:t>
      </w:r>
      <w:r>
        <w:rPr>
          <w:rFonts w:hint="eastAsia" w:ascii="仿宋" w:hAnsi="仿宋" w:eastAsia="仿宋"/>
          <w:szCs w:val="32"/>
        </w:rPr>
        <w:t>经市招商引资考核办考核，呈贡区2018年招商引资工作排名全市第一板块第一名。</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五、综合评价情况及评价结论</w:t>
      </w:r>
    </w:p>
    <w:p>
      <w:pPr>
        <w:spacing w:line="560" w:lineRule="exact"/>
        <w:ind w:firstLine="632" w:firstLineChars="200"/>
        <w:rPr>
          <w:rFonts w:ascii="仿宋" w:hAnsi="仿宋" w:eastAsia="仿宋"/>
          <w:b/>
          <w:sz w:val="30"/>
          <w:szCs w:val="30"/>
        </w:rPr>
      </w:pPr>
      <w:r>
        <w:rPr>
          <w:rFonts w:hint="eastAsia" w:ascii="仿宋" w:hAnsi="仿宋" w:eastAsia="仿宋"/>
          <w:szCs w:val="32"/>
        </w:rPr>
        <w:t>对招商引资工作经费及招商推介会活动经费项目支出绩效评价自评为97分</w:t>
      </w:r>
      <w:r>
        <w:rPr>
          <w:rFonts w:hint="eastAsia" w:ascii="仿宋" w:hAnsi="仿宋" w:eastAsia="仿宋"/>
          <w:b/>
          <w:sz w:val="30"/>
          <w:szCs w:val="30"/>
        </w:rPr>
        <w:t>。</w:t>
      </w:r>
    </w:p>
    <w:p>
      <w:pPr>
        <w:spacing w:line="560" w:lineRule="exact"/>
        <w:ind w:firstLine="632" w:firstLineChars="200"/>
        <w:rPr>
          <w:rFonts w:ascii="仿宋" w:hAnsi="仿宋" w:eastAsia="仿宋"/>
          <w:bCs/>
          <w:szCs w:val="32"/>
        </w:rPr>
      </w:pPr>
      <w:r>
        <w:rPr>
          <w:rFonts w:hint="eastAsia" w:ascii="仿宋" w:hAnsi="仿宋" w:eastAsia="仿宋"/>
          <w:b/>
          <w:szCs w:val="32"/>
        </w:rPr>
        <w:t>六、绩效评价结果应用建议</w:t>
      </w:r>
    </w:p>
    <w:p>
      <w:pPr>
        <w:spacing w:line="560" w:lineRule="exact"/>
        <w:ind w:firstLine="632" w:firstLineChars="200"/>
        <w:rPr>
          <w:rFonts w:ascii="仿宋" w:hAnsi="仿宋" w:eastAsia="仿宋"/>
          <w:bCs/>
          <w:szCs w:val="32"/>
        </w:rPr>
      </w:pPr>
      <w:r>
        <w:rPr>
          <w:rFonts w:hint="eastAsia" w:ascii="仿宋" w:hAnsi="仿宋" w:eastAsia="仿宋"/>
          <w:bCs/>
          <w:szCs w:val="32"/>
        </w:rPr>
        <w:t>鉴于评价结果，为继续做好全区招商引资工作，建议加大资金，实现更好的公共效益，确保2019年呈贡区招商引资工作顺利完成。</w:t>
      </w:r>
    </w:p>
    <w:p>
      <w:pPr>
        <w:spacing w:line="560" w:lineRule="exact"/>
        <w:ind w:firstLine="632" w:firstLineChars="200"/>
        <w:rPr>
          <w:rFonts w:ascii="仿宋" w:hAnsi="仿宋" w:eastAsia="仿宋"/>
          <w:b/>
          <w:szCs w:val="32"/>
        </w:rPr>
      </w:pPr>
      <w:r>
        <w:rPr>
          <w:rFonts w:hint="eastAsia" w:ascii="仿宋" w:hAnsi="仿宋" w:eastAsia="仿宋"/>
          <w:b/>
          <w:szCs w:val="32"/>
        </w:rPr>
        <w:t>七、主要经验及做法</w:t>
      </w:r>
    </w:p>
    <w:p>
      <w:pPr>
        <w:widowControl/>
        <w:shd w:val="clear" w:color="auto" w:fill="FFFFFF"/>
        <w:spacing w:line="560" w:lineRule="exact"/>
        <w:ind w:firstLine="632" w:firstLineChars="200"/>
        <w:jc w:val="left"/>
        <w:rPr>
          <w:rFonts w:ascii="仿宋" w:hAnsi="仿宋" w:eastAsia="仿宋" w:cs="宋体"/>
          <w:color w:val="333333"/>
          <w:kern w:val="0"/>
          <w:szCs w:val="32"/>
        </w:rPr>
      </w:pPr>
      <w:r>
        <w:rPr>
          <w:rFonts w:hint="eastAsia" w:ascii="仿宋" w:hAnsi="仿宋" w:eastAsia="仿宋" w:cs="宋体"/>
          <w:color w:val="333333"/>
          <w:kern w:val="0"/>
          <w:szCs w:val="32"/>
        </w:rPr>
        <w:t>（一）做好项目预算</w:t>
      </w:r>
    </w:p>
    <w:p>
      <w:pPr>
        <w:widowControl/>
        <w:shd w:val="clear" w:color="auto" w:fill="FFFFFF"/>
        <w:spacing w:line="560" w:lineRule="exact"/>
        <w:ind w:firstLine="632" w:firstLineChars="200"/>
        <w:jc w:val="left"/>
        <w:rPr>
          <w:rFonts w:ascii="仿宋" w:hAnsi="仿宋" w:eastAsia="仿宋" w:cs="宋体"/>
          <w:color w:val="333333"/>
          <w:kern w:val="0"/>
          <w:szCs w:val="32"/>
        </w:rPr>
      </w:pPr>
      <w:r>
        <w:rPr>
          <w:rFonts w:hint="eastAsia" w:ascii="仿宋" w:hAnsi="仿宋" w:eastAsia="仿宋" w:cs="宋体"/>
          <w:color w:val="333333"/>
          <w:kern w:val="0"/>
          <w:szCs w:val="32"/>
        </w:rPr>
        <w:t>我局在编报项目预算时责任到人，以保证专项资金均能够保质保量执行到位，最后提交局办公会研究确定。</w:t>
      </w:r>
    </w:p>
    <w:p>
      <w:pPr>
        <w:widowControl/>
        <w:shd w:val="clear" w:color="auto" w:fill="FFFFFF"/>
        <w:spacing w:line="560" w:lineRule="exact"/>
        <w:ind w:firstLine="632" w:firstLineChars="200"/>
        <w:jc w:val="left"/>
        <w:rPr>
          <w:rFonts w:ascii="仿宋" w:hAnsi="仿宋" w:eastAsia="仿宋" w:cs="宋体"/>
          <w:color w:val="333333"/>
          <w:kern w:val="0"/>
          <w:szCs w:val="32"/>
        </w:rPr>
      </w:pPr>
      <w:r>
        <w:rPr>
          <w:rFonts w:hint="eastAsia" w:ascii="仿宋" w:hAnsi="仿宋" w:eastAsia="仿宋" w:cs="宋体"/>
          <w:color w:val="333333"/>
          <w:kern w:val="0"/>
          <w:szCs w:val="32"/>
        </w:rPr>
        <w:t>（二）资金调整及时有效</w:t>
      </w:r>
    </w:p>
    <w:p>
      <w:pPr>
        <w:widowControl/>
        <w:shd w:val="clear" w:color="auto" w:fill="FFFFFF"/>
        <w:spacing w:line="560" w:lineRule="exact"/>
        <w:ind w:firstLine="632" w:firstLineChars="200"/>
        <w:jc w:val="left"/>
        <w:rPr>
          <w:rFonts w:ascii="仿宋" w:hAnsi="仿宋" w:eastAsia="仿宋" w:cs="宋体"/>
          <w:color w:val="333333"/>
          <w:kern w:val="0"/>
          <w:szCs w:val="32"/>
        </w:rPr>
      </w:pPr>
      <w:r>
        <w:rPr>
          <w:rFonts w:hint="eastAsia" w:ascii="仿宋" w:hAnsi="仿宋" w:eastAsia="仿宋" w:cs="宋体"/>
          <w:color w:val="333333"/>
          <w:kern w:val="0"/>
          <w:szCs w:val="32"/>
        </w:rPr>
        <w:t>我局根据严格跟踪管理专项资金的执行进度。一是及时将预算批复传达到各专项资金项目组织实施科室；二是建立专项资金定期通报定期调度机制；三是建立专项资金定期调整机制，统筹考虑项目推进实际，对执行进度较慢的招商推介会活动经费及时进行了调减。定期的调度和及时的预算调整，为我局年度预算执行率目标的完成提供了有利条件。</w:t>
      </w:r>
    </w:p>
    <w:p>
      <w:pPr>
        <w:spacing w:line="560" w:lineRule="exact"/>
        <w:ind w:firstLine="632" w:firstLineChars="200"/>
        <w:rPr>
          <w:rFonts w:ascii="仿宋" w:hAnsi="仿宋" w:eastAsia="仿宋" w:cs="宋体"/>
          <w:szCs w:val="32"/>
        </w:rPr>
      </w:pPr>
    </w:p>
    <w:p>
      <w:pPr>
        <w:spacing w:line="560" w:lineRule="exact"/>
        <w:ind w:firstLine="632" w:firstLineChars="200"/>
        <w:rPr>
          <w:rFonts w:ascii="仿宋" w:hAnsi="仿宋" w:eastAsia="仿宋" w:cs="宋体"/>
          <w:szCs w:val="32"/>
        </w:rPr>
      </w:pPr>
      <w:r>
        <w:rPr>
          <w:rFonts w:hint="eastAsia" w:ascii="仿宋" w:hAnsi="仿宋" w:eastAsia="仿宋" w:cs="宋体"/>
          <w:szCs w:val="32"/>
        </w:rPr>
        <w:t xml:space="preserve">                       </w:t>
      </w:r>
    </w:p>
    <w:p>
      <w:pPr>
        <w:spacing w:line="560" w:lineRule="exact"/>
        <w:ind w:firstLine="3792" w:firstLineChars="1200"/>
        <w:rPr>
          <w:rFonts w:ascii="仿宋" w:hAnsi="仿宋" w:eastAsia="仿宋" w:cs="宋体"/>
          <w:szCs w:val="32"/>
        </w:rPr>
      </w:pPr>
      <w:r>
        <w:rPr>
          <w:rFonts w:hint="eastAsia" w:ascii="仿宋" w:hAnsi="仿宋" w:eastAsia="仿宋" w:cs="宋体"/>
          <w:szCs w:val="32"/>
        </w:rPr>
        <w:t>呈贡区</w:t>
      </w:r>
      <w:r>
        <w:rPr>
          <w:rFonts w:hint="eastAsia" w:ascii="仿宋" w:hAnsi="仿宋" w:eastAsia="仿宋" w:cs="宋体"/>
          <w:szCs w:val="32"/>
          <w:lang w:val="en-US" w:eastAsia="zh-CN"/>
        </w:rPr>
        <w:t>经济贸易</w:t>
      </w:r>
      <w:r>
        <w:rPr>
          <w:rFonts w:hint="eastAsia" w:ascii="仿宋" w:hAnsi="仿宋" w:eastAsia="仿宋" w:cs="宋体"/>
          <w:szCs w:val="32"/>
        </w:rPr>
        <w:t>和投资促进局</w:t>
      </w:r>
    </w:p>
    <w:p>
      <w:pPr>
        <w:spacing w:line="560" w:lineRule="exact"/>
        <w:ind w:left="158" w:leftChars="50" w:firstLine="474" w:firstLineChars="150"/>
        <w:rPr>
          <w:rFonts w:ascii="仿宋" w:hAnsi="仿宋" w:eastAsia="仿宋" w:cs="宋体"/>
          <w:szCs w:val="32"/>
        </w:rPr>
      </w:pPr>
      <w:r>
        <w:rPr>
          <w:rFonts w:hint="eastAsia" w:ascii="仿宋" w:hAnsi="仿宋" w:eastAsia="仿宋" w:cs="宋体"/>
          <w:szCs w:val="32"/>
        </w:rPr>
        <w:t xml:space="preserve">                           </w:t>
      </w:r>
      <w:bookmarkStart w:id="0" w:name="_GoBack"/>
      <w:bookmarkEnd w:id="0"/>
      <w:r>
        <w:rPr>
          <w:rFonts w:hint="eastAsia" w:ascii="仿宋" w:hAnsi="仿宋" w:eastAsia="仿宋" w:cs="宋体"/>
          <w:szCs w:val="32"/>
        </w:rPr>
        <w:t>2019年3月28日</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35"/>
      <w:rPr>
        <w:rStyle w:val="6"/>
        <w:rFonts w:ascii="宋体" w:hAnsi="宋体" w:eastAsia="宋体"/>
        <w:sz w:val="28"/>
      </w:rPr>
    </w:pPr>
    <w:r>
      <w:rPr>
        <w:rStyle w:val="6"/>
        <w:rFonts w:ascii="宋体" w:hAnsi="宋体" w:eastAsia="宋体"/>
        <w:sz w:val="28"/>
      </w:rPr>
      <w:t>—</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6</w:t>
    </w:r>
    <w:r>
      <w:rPr>
        <w:rFonts w:ascii="宋体" w:hAnsi="宋体" w:eastAsia="宋体"/>
        <w:sz w:val="28"/>
      </w:rPr>
      <w:fldChar w:fldCharType="end"/>
    </w:r>
    <w:r>
      <w:rPr>
        <w:rStyle w:val="6"/>
        <w:rFonts w:ascii="宋体" w:hAnsi="宋体" w:eastAsia="宋体"/>
        <w:sz w:val="28"/>
      </w:rPr>
      <w:t>—</w:t>
    </w:r>
  </w:p>
  <w:p>
    <w:pPr>
      <w:pStyle w:val="2"/>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35"/>
      <w:rPr>
        <w:rStyle w:val="6"/>
        <w:rFonts w:ascii="宋体" w:hAnsi="宋体" w:eastAsia="宋体"/>
        <w:sz w:val="28"/>
      </w:rPr>
    </w:pPr>
    <w:r>
      <w:rPr>
        <w:rStyle w:val="6"/>
        <w:rFonts w:ascii="宋体" w:hAnsi="宋体" w:eastAsia="宋体"/>
        <w:sz w:val="28"/>
      </w:rPr>
      <w:t>—</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14</w:t>
    </w:r>
    <w:r>
      <w:rPr>
        <w:rFonts w:ascii="宋体" w:hAnsi="宋体" w:eastAsia="宋体"/>
        <w:sz w:val="28"/>
      </w:rPr>
      <w:fldChar w:fldCharType="end"/>
    </w:r>
    <w:r>
      <w:rPr>
        <w:rStyle w:val="6"/>
        <w:rFonts w:ascii="宋体" w:hAnsi="宋体" w:eastAsia="宋体"/>
        <w:sz w:val="28"/>
      </w:rPr>
      <w:t>—</w:t>
    </w:r>
  </w:p>
  <w:p>
    <w:pPr>
      <w:pStyle w:val="2"/>
      <w:ind w:left="300" w:right="360" w:firstLine="360"/>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C726E"/>
    <w:multiLevelType w:val="singleLevel"/>
    <w:tmpl w:val="58FC72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955A8"/>
    <w:rsid w:val="000000A6"/>
    <w:rsid w:val="00013D77"/>
    <w:rsid w:val="00017932"/>
    <w:rsid w:val="00054BDC"/>
    <w:rsid w:val="00054BEF"/>
    <w:rsid w:val="000910AF"/>
    <w:rsid w:val="00092A78"/>
    <w:rsid w:val="00095607"/>
    <w:rsid w:val="000D4C1C"/>
    <w:rsid w:val="000D7AD7"/>
    <w:rsid w:val="000F16BA"/>
    <w:rsid w:val="0012068F"/>
    <w:rsid w:val="001C7050"/>
    <w:rsid w:val="00215D3C"/>
    <w:rsid w:val="002265CE"/>
    <w:rsid w:val="002368EA"/>
    <w:rsid w:val="00241CD5"/>
    <w:rsid w:val="00246B43"/>
    <w:rsid w:val="00254038"/>
    <w:rsid w:val="0028303A"/>
    <w:rsid w:val="00286741"/>
    <w:rsid w:val="002D28BD"/>
    <w:rsid w:val="002E0009"/>
    <w:rsid w:val="002F11C6"/>
    <w:rsid w:val="002F4FE1"/>
    <w:rsid w:val="00307655"/>
    <w:rsid w:val="0032359A"/>
    <w:rsid w:val="00323A1A"/>
    <w:rsid w:val="00323B43"/>
    <w:rsid w:val="00337DCF"/>
    <w:rsid w:val="00374F70"/>
    <w:rsid w:val="003C184A"/>
    <w:rsid w:val="003C512E"/>
    <w:rsid w:val="003D37D8"/>
    <w:rsid w:val="00411C69"/>
    <w:rsid w:val="004358AB"/>
    <w:rsid w:val="00447D03"/>
    <w:rsid w:val="004C53FF"/>
    <w:rsid w:val="00501ACF"/>
    <w:rsid w:val="00515DC2"/>
    <w:rsid w:val="00523166"/>
    <w:rsid w:val="00546975"/>
    <w:rsid w:val="00573943"/>
    <w:rsid w:val="00573F4D"/>
    <w:rsid w:val="005955A8"/>
    <w:rsid w:val="005B4524"/>
    <w:rsid w:val="005B787B"/>
    <w:rsid w:val="00643DFB"/>
    <w:rsid w:val="0069742F"/>
    <w:rsid w:val="006A1986"/>
    <w:rsid w:val="006C1378"/>
    <w:rsid w:val="006D2EBC"/>
    <w:rsid w:val="006D7BE2"/>
    <w:rsid w:val="007062A7"/>
    <w:rsid w:val="00716BC8"/>
    <w:rsid w:val="00771D69"/>
    <w:rsid w:val="007D6846"/>
    <w:rsid w:val="007F6124"/>
    <w:rsid w:val="00820C44"/>
    <w:rsid w:val="00823604"/>
    <w:rsid w:val="00864FD8"/>
    <w:rsid w:val="00893F79"/>
    <w:rsid w:val="0089414B"/>
    <w:rsid w:val="008B7726"/>
    <w:rsid w:val="008C4CA4"/>
    <w:rsid w:val="008E54E2"/>
    <w:rsid w:val="008E6B4D"/>
    <w:rsid w:val="009149D3"/>
    <w:rsid w:val="00926A31"/>
    <w:rsid w:val="009320CD"/>
    <w:rsid w:val="00950B30"/>
    <w:rsid w:val="0096030C"/>
    <w:rsid w:val="009A7627"/>
    <w:rsid w:val="009B1393"/>
    <w:rsid w:val="009B5E14"/>
    <w:rsid w:val="009E32CE"/>
    <w:rsid w:val="00A07526"/>
    <w:rsid w:val="00A81B55"/>
    <w:rsid w:val="00AB7120"/>
    <w:rsid w:val="00AD68AB"/>
    <w:rsid w:val="00B01541"/>
    <w:rsid w:val="00B11BE5"/>
    <w:rsid w:val="00B17C13"/>
    <w:rsid w:val="00B23215"/>
    <w:rsid w:val="00B372A5"/>
    <w:rsid w:val="00B373C4"/>
    <w:rsid w:val="00B625EF"/>
    <w:rsid w:val="00B65FC2"/>
    <w:rsid w:val="00BA77EF"/>
    <w:rsid w:val="00BD3CCA"/>
    <w:rsid w:val="00C03054"/>
    <w:rsid w:val="00C06F9E"/>
    <w:rsid w:val="00C87897"/>
    <w:rsid w:val="00C929FC"/>
    <w:rsid w:val="00C9795E"/>
    <w:rsid w:val="00CC5ACE"/>
    <w:rsid w:val="00CD5465"/>
    <w:rsid w:val="00CF2A4B"/>
    <w:rsid w:val="00D047AD"/>
    <w:rsid w:val="00D145ED"/>
    <w:rsid w:val="00D57CC9"/>
    <w:rsid w:val="00D902EF"/>
    <w:rsid w:val="00D94E69"/>
    <w:rsid w:val="00DB197C"/>
    <w:rsid w:val="00DC72C5"/>
    <w:rsid w:val="00DD7B75"/>
    <w:rsid w:val="00E35142"/>
    <w:rsid w:val="00E40938"/>
    <w:rsid w:val="00E4373E"/>
    <w:rsid w:val="00E50FA9"/>
    <w:rsid w:val="00E84C8A"/>
    <w:rsid w:val="00EA182F"/>
    <w:rsid w:val="00EE6F21"/>
    <w:rsid w:val="00F122CC"/>
    <w:rsid w:val="00F25204"/>
    <w:rsid w:val="00F45706"/>
    <w:rsid w:val="00F45E0C"/>
    <w:rsid w:val="00F91DCE"/>
    <w:rsid w:val="037C3D9D"/>
    <w:rsid w:val="04197BEF"/>
    <w:rsid w:val="0AFD63D4"/>
    <w:rsid w:val="112E109B"/>
    <w:rsid w:val="13D66B70"/>
    <w:rsid w:val="14383391"/>
    <w:rsid w:val="14425015"/>
    <w:rsid w:val="2CD77E2E"/>
    <w:rsid w:val="2DB86967"/>
    <w:rsid w:val="34E360A9"/>
    <w:rsid w:val="34FF4523"/>
    <w:rsid w:val="39AC4CF5"/>
    <w:rsid w:val="3E5A53B1"/>
    <w:rsid w:val="42B62758"/>
    <w:rsid w:val="57C64A60"/>
    <w:rsid w:val="59082115"/>
    <w:rsid w:val="60874DE3"/>
    <w:rsid w:val="65F85C79"/>
    <w:rsid w:val="688F769D"/>
    <w:rsid w:val="71800D13"/>
    <w:rsid w:val="745835C5"/>
    <w:rsid w:val="784E38EA"/>
    <w:rsid w:val="78D10726"/>
    <w:rsid w:val="7E85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heme="minorHAnsi" w:hAnsiTheme="minorHAnsi"/>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character" w:customStyle="1" w:styleId="7">
    <w:name w:val="页脚 Char"/>
    <w:basedOn w:val="5"/>
    <w:link w:val="2"/>
    <w:qFormat/>
    <w:uiPriority w:val="0"/>
    <w:rPr>
      <w:rFonts w:eastAsia="仿宋_GB2312" w:cs="Times New Roman"/>
      <w:sz w:val="18"/>
      <w:szCs w:val="18"/>
    </w:rPr>
  </w:style>
  <w:style w:type="character" w:customStyle="1" w:styleId="8">
    <w:name w:val="页脚 Char1"/>
    <w:basedOn w:val="5"/>
    <w:link w:val="2"/>
    <w:semiHidden/>
    <w:qFormat/>
    <w:uiPriority w:val="99"/>
    <w:rPr>
      <w:rFonts w:ascii="Times New Roman" w:hAnsi="Times New Roman" w:eastAsia="仿宋_GB2312" w:cs="Times New Roman"/>
      <w:kern w:val="2"/>
      <w:sz w:val="18"/>
      <w:szCs w:val="18"/>
    </w:rPr>
  </w:style>
  <w:style w:type="character" w:customStyle="1" w:styleId="9">
    <w:name w:val="页眉 Char"/>
    <w:basedOn w:val="5"/>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463</Words>
  <Characters>2640</Characters>
  <Lines>22</Lines>
  <Paragraphs>6</Paragraphs>
  <TotalTime>544</TotalTime>
  <ScaleCrop>false</ScaleCrop>
  <LinksUpToDate>false</LinksUpToDate>
  <CharactersWithSpaces>3097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2017-03-28T03:19:00Z</dcterms:created>
  <dc:creator>xtzj</dc:creator>
  <cp:lastModifiedBy>马彦昆</cp:lastModifiedBy>
  <cp:lastPrinted>2019-03-27T08:38:00Z</cp:lastPrinted>
  <dcterms:modified xsi:type="dcterms:W3CDTF">2019-03-31T15:08:12Z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