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黑体" w:hAnsi="黑体" w:eastAsia="黑体"/>
          <w:sz w:val="44"/>
          <w:szCs w:val="44"/>
        </w:rPr>
      </w:pPr>
      <w:r>
        <w:rPr>
          <w:rFonts w:hint="eastAsia" w:ascii="黑体" w:hAnsi="黑体" w:eastAsia="黑体"/>
          <w:sz w:val="44"/>
          <w:szCs w:val="44"/>
        </w:rPr>
        <w:t>招商引资企业扶持奖励资金、重点招商引资企业扶持金、非用地类项目奖励扶持资金</w:t>
      </w:r>
    </w:p>
    <w:p>
      <w:pPr>
        <w:spacing w:line="600" w:lineRule="exact"/>
        <w:jc w:val="center"/>
        <w:rPr>
          <w:rFonts w:ascii="黑体" w:hAnsi="黑体" w:eastAsia="黑体"/>
          <w:sz w:val="44"/>
          <w:szCs w:val="44"/>
        </w:rPr>
      </w:pPr>
      <w:r>
        <w:rPr>
          <w:rFonts w:ascii="黑体" w:hAnsi="黑体" w:eastAsia="黑体"/>
          <w:sz w:val="44"/>
          <w:szCs w:val="44"/>
        </w:rPr>
        <w:t>项目支出绩效评价报告</w:t>
      </w:r>
    </w:p>
    <w:p>
      <w:pPr>
        <w:spacing w:line="600" w:lineRule="exact"/>
        <w:jc w:val="center"/>
        <w:rPr>
          <w:rFonts w:ascii="华文中宋" w:hAnsi="华文中宋" w:eastAsia="华文中宋"/>
          <w:sz w:val="44"/>
          <w:szCs w:val="44"/>
        </w:rPr>
      </w:pPr>
    </w:p>
    <w:p>
      <w:pPr>
        <w:spacing w:line="560" w:lineRule="exact"/>
        <w:ind w:firstLine="640" w:firstLineChars="200"/>
        <w:rPr>
          <w:rFonts w:ascii="仿宋" w:hAnsi="仿宋" w:eastAsia="仿宋"/>
          <w:szCs w:val="32"/>
        </w:rPr>
      </w:pPr>
      <w:r>
        <w:rPr>
          <w:rFonts w:hint="eastAsia" w:ascii="仿宋" w:hAnsi="仿宋" w:eastAsia="仿宋"/>
          <w:szCs w:val="32"/>
        </w:rPr>
        <w:t>一、基本情况</w:t>
      </w:r>
    </w:p>
    <w:p>
      <w:pPr>
        <w:spacing w:line="560" w:lineRule="exact"/>
        <w:ind w:firstLine="640" w:firstLineChars="200"/>
        <w:outlineLvl w:val="0"/>
        <w:rPr>
          <w:rFonts w:ascii="仿宋" w:hAnsi="仿宋" w:eastAsia="仿宋"/>
          <w:szCs w:val="32"/>
        </w:rPr>
      </w:pPr>
      <w:r>
        <w:rPr>
          <w:rFonts w:hint="eastAsia" w:ascii="仿宋" w:hAnsi="仿宋" w:eastAsia="仿宋"/>
          <w:szCs w:val="32"/>
        </w:rPr>
        <w:t>（一）项目概况</w:t>
      </w:r>
    </w:p>
    <w:p>
      <w:pPr>
        <w:spacing w:line="560" w:lineRule="exact"/>
        <w:ind w:firstLine="640" w:firstLineChars="200"/>
        <w:outlineLvl w:val="0"/>
        <w:rPr>
          <w:rFonts w:ascii="仿宋" w:hAnsi="仿宋" w:eastAsia="仿宋"/>
          <w:szCs w:val="32"/>
        </w:rPr>
      </w:pPr>
      <w:r>
        <w:rPr>
          <w:rFonts w:hint="eastAsia" w:ascii="仿宋" w:hAnsi="仿宋" w:eastAsia="仿宋"/>
          <w:szCs w:val="32"/>
        </w:rPr>
        <w:t>为进一步加快呈贡新区产业发展，引导鼓励符合产业导向的企业到呈贡投资兴业，增强新区经济实力和综合竞争力，根据《呈贡区促进内培外引工作奖励扶持意见（暂行）》（呈新工委通〔2012〕29号）、《昆明市呈贡人民政府关于进一步促进全区经济平稳健康发展28条措施的意见》文件精神，呈贡区对年度经市级招商引资考核认定实际到位亿元以上的内资企业、50万美元以上的外资企业及工商和税务登记在呈贡区年税收形成区级可用财力达10万元以上（含10万）的非用地类内资项目，以企业发展资金形式给予扶持。同时对中国中铁、中交集团等企业给予“一企一策”扶持。</w:t>
      </w:r>
    </w:p>
    <w:p>
      <w:pPr>
        <w:spacing w:line="560" w:lineRule="exact"/>
        <w:ind w:firstLine="640" w:firstLineChars="200"/>
        <w:outlineLvl w:val="0"/>
        <w:rPr>
          <w:rFonts w:ascii="仿宋" w:hAnsi="仿宋" w:eastAsia="仿宋"/>
          <w:szCs w:val="32"/>
        </w:rPr>
      </w:pPr>
      <w:r>
        <w:rPr>
          <w:rFonts w:hint="eastAsia" w:ascii="仿宋" w:hAnsi="仿宋" w:eastAsia="仿宋"/>
          <w:szCs w:val="32"/>
        </w:rPr>
        <w:t>（二）项目绩效目标</w:t>
      </w:r>
    </w:p>
    <w:p>
      <w:pPr>
        <w:spacing w:line="560" w:lineRule="exact"/>
        <w:ind w:firstLine="640" w:firstLineChars="200"/>
        <w:outlineLvl w:val="0"/>
        <w:rPr>
          <w:rFonts w:ascii="仿宋" w:hAnsi="仿宋" w:eastAsia="仿宋"/>
          <w:szCs w:val="32"/>
        </w:rPr>
      </w:pPr>
      <w:r>
        <w:rPr>
          <w:rFonts w:ascii="仿宋" w:hAnsi="仿宋" w:eastAsia="仿宋"/>
          <w:szCs w:val="32"/>
        </w:rPr>
        <w:t>1.</w:t>
      </w:r>
      <w:r>
        <w:rPr>
          <w:rFonts w:hint="eastAsia" w:ascii="仿宋" w:hAnsi="仿宋" w:eastAsia="仿宋"/>
          <w:szCs w:val="32"/>
        </w:rPr>
        <w:t>项目绩效总目标。完成对2017年符合扶持政策的招商引资企业、投资项目企业等优秀企业的表彰扶持。</w:t>
      </w:r>
    </w:p>
    <w:p>
      <w:pPr>
        <w:spacing w:line="560" w:lineRule="exact"/>
        <w:ind w:firstLine="640" w:firstLineChars="200"/>
        <w:outlineLvl w:val="0"/>
        <w:rPr>
          <w:rFonts w:ascii="仿宋" w:hAnsi="仿宋" w:eastAsia="仿宋"/>
          <w:szCs w:val="32"/>
        </w:rPr>
      </w:pPr>
      <w:r>
        <w:rPr>
          <w:rFonts w:ascii="仿宋" w:hAnsi="仿宋" w:eastAsia="仿宋"/>
          <w:szCs w:val="32"/>
        </w:rPr>
        <w:t>2.</w:t>
      </w:r>
      <w:r>
        <w:rPr>
          <w:rFonts w:hint="eastAsia" w:ascii="仿宋" w:hAnsi="仿宋" w:eastAsia="仿宋"/>
          <w:szCs w:val="32"/>
        </w:rPr>
        <w:t>项目绩效阶段性目标。2018年上半年完成对中国中铁、中交集团“一企一策”扶持；12月前完成招商引资项目企业、投资项目企业的扶持。</w:t>
      </w:r>
    </w:p>
    <w:p>
      <w:pPr>
        <w:spacing w:line="560" w:lineRule="exact"/>
        <w:ind w:firstLine="640" w:firstLineChars="200"/>
        <w:rPr>
          <w:rFonts w:ascii="仿宋" w:hAnsi="仿宋" w:eastAsia="仿宋"/>
          <w:szCs w:val="32"/>
        </w:rPr>
      </w:pPr>
      <w:r>
        <w:rPr>
          <w:rFonts w:hint="eastAsia" w:ascii="仿宋" w:hAnsi="仿宋" w:eastAsia="仿宋"/>
          <w:szCs w:val="32"/>
        </w:rPr>
        <w:t>二、项目单位绩效报告情况</w:t>
      </w:r>
    </w:p>
    <w:p>
      <w:pPr>
        <w:spacing w:line="560" w:lineRule="exact"/>
        <w:ind w:firstLine="640" w:firstLineChars="200"/>
        <w:rPr>
          <w:rFonts w:ascii="仿宋" w:hAnsi="仿宋" w:eastAsia="仿宋" w:cs="仿宋_GB2312"/>
          <w:szCs w:val="32"/>
        </w:rPr>
      </w:pPr>
      <w:r>
        <w:rPr>
          <w:rFonts w:hint="eastAsia" w:ascii="仿宋" w:hAnsi="仿宋" w:eastAsia="仿宋"/>
          <w:szCs w:val="32"/>
        </w:rPr>
        <w:t>根据呈贡区财政局《关于开展2018年度区级预算支出绩效自评工作的通知》(呈财〔2019〕21号)文件要求，我局及时</w:t>
      </w:r>
      <w:r>
        <w:rPr>
          <w:rFonts w:hint="eastAsia" w:ascii="仿宋" w:hAnsi="仿宋" w:eastAsia="仿宋" w:cs="仿宋_GB2312"/>
          <w:szCs w:val="32"/>
        </w:rPr>
        <w:t>按要求对该项目进行自评并形成书面报告，同时对项目执行情况进行了打分，自评分为96分。</w:t>
      </w:r>
    </w:p>
    <w:p>
      <w:pPr>
        <w:spacing w:line="560" w:lineRule="exact"/>
        <w:ind w:firstLine="640" w:firstLineChars="200"/>
        <w:rPr>
          <w:rFonts w:ascii="仿宋" w:hAnsi="仿宋" w:eastAsia="仿宋"/>
          <w:szCs w:val="32"/>
        </w:rPr>
      </w:pPr>
      <w:r>
        <w:rPr>
          <w:rFonts w:hint="eastAsia" w:ascii="仿宋" w:hAnsi="仿宋" w:eastAsia="仿宋"/>
          <w:szCs w:val="32"/>
        </w:rPr>
        <w:t>三、绩效评价工作情况</w:t>
      </w:r>
    </w:p>
    <w:p>
      <w:pPr>
        <w:spacing w:line="560" w:lineRule="exact"/>
        <w:ind w:firstLine="640" w:firstLineChars="200"/>
        <w:rPr>
          <w:rFonts w:ascii="仿宋" w:hAnsi="仿宋" w:eastAsia="仿宋"/>
          <w:szCs w:val="32"/>
        </w:rPr>
      </w:pPr>
      <w:r>
        <w:rPr>
          <w:rFonts w:hint="eastAsia" w:ascii="仿宋" w:hAnsi="仿宋" w:eastAsia="仿宋"/>
          <w:szCs w:val="32"/>
        </w:rPr>
        <w:t>（一）绩效评价目的</w:t>
      </w:r>
    </w:p>
    <w:p>
      <w:pPr>
        <w:spacing w:line="560" w:lineRule="exact"/>
        <w:ind w:firstLine="640" w:firstLineChars="200"/>
        <w:rPr>
          <w:rFonts w:ascii="仿宋" w:hAnsi="仿宋" w:eastAsia="仿宋"/>
          <w:szCs w:val="32"/>
        </w:rPr>
      </w:pPr>
      <w:r>
        <w:rPr>
          <w:rFonts w:hint="eastAsia" w:ascii="仿宋" w:hAnsi="仿宋" w:eastAsia="仿宋"/>
          <w:szCs w:val="32"/>
        </w:rPr>
        <w:t>进一步强化预算绩效管理，强化支出责任，提高财政资金使用效益。为今后预算安排提供决策支持，进一步增强本单位支出管理的责任，优化支出结构，提升预算管理水平，保障更好地履行职责，提高公务服务质量和财政资金使用效益，促进当地经济健康发展。</w:t>
      </w:r>
    </w:p>
    <w:p>
      <w:pPr>
        <w:spacing w:line="560" w:lineRule="exact"/>
        <w:ind w:firstLine="640" w:firstLineChars="200"/>
        <w:rPr>
          <w:rFonts w:ascii="仿宋" w:hAnsi="仿宋" w:eastAsia="仿宋"/>
          <w:szCs w:val="32"/>
        </w:rPr>
      </w:pPr>
      <w:r>
        <w:rPr>
          <w:rFonts w:hint="eastAsia" w:ascii="仿宋" w:hAnsi="仿宋" w:eastAsia="仿宋"/>
          <w:szCs w:val="32"/>
        </w:rPr>
        <w:t>（二）绩效评价原则、评价指标体系、评价方法</w:t>
      </w:r>
    </w:p>
    <w:p>
      <w:pPr>
        <w:spacing w:line="560" w:lineRule="exact"/>
        <w:ind w:firstLine="640" w:firstLineChars="200"/>
        <w:rPr>
          <w:rFonts w:ascii="仿宋" w:hAnsi="仿宋" w:eastAsia="仿宋" w:cs="仿宋_GB2312"/>
          <w:szCs w:val="32"/>
        </w:rPr>
      </w:pPr>
      <w:r>
        <w:rPr>
          <w:rFonts w:hint="eastAsia" w:ascii="仿宋" w:hAnsi="仿宋" w:eastAsia="仿宋"/>
          <w:szCs w:val="32"/>
        </w:rPr>
        <w:t>按照科学规范、客观公正、合理合规的原则，我单位对招商引资工作经费、招商推介会活动经费支出的经济性、效率性和效益性进行了合理安排，保证财政资金用途，避免财政资源的浪费。</w:t>
      </w:r>
    </w:p>
    <w:p>
      <w:pPr>
        <w:spacing w:line="560" w:lineRule="exact"/>
        <w:ind w:firstLine="640" w:firstLineChars="200"/>
        <w:rPr>
          <w:rFonts w:ascii="仿宋" w:hAnsi="仿宋" w:eastAsia="仿宋"/>
          <w:szCs w:val="32"/>
        </w:rPr>
      </w:pPr>
      <w:r>
        <w:rPr>
          <w:rFonts w:hint="eastAsia" w:ascii="仿宋" w:hAnsi="仿宋" w:eastAsia="仿宋"/>
          <w:szCs w:val="32"/>
        </w:rPr>
        <w:t>（三）绩效评价工作过程</w:t>
      </w:r>
    </w:p>
    <w:p>
      <w:pPr>
        <w:spacing w:line="560" w:lineRule="exact"/>
        <w:ind w:firstLine="640" w:firstLineChars="200"/>
        <w:rPr>
          <w:rFonts w:ascii="仿宋" w:hAnsi="仿宋" w:eastAsia="仿宋"/>
          <w:szCs w:val="32"/>
        </w:rPr>
      </w:pPr>
      <w:r>
        <w:rPr>
          <w:rFonts w:ascii="仿宋" w:hAnsi="仿宋" w:eastAsia="仿宋"/>
          <w:szCs w:val="32"/>
        </w:rPr>
        <w:t>1.</w:t>
      </w:r>
      <w:r>
        <w:rPr>
          <w:rFonts w:hint="eastAsia" w:ascii="仿宋" w:hAnsi="仿宋" w:eastAsia="仿宋"/>
          <w:szCs w:val="32"/>
        </w:rPr>
        <w:t>前期准备。根据2017年市级对呈贡区招商引资实际考核情况及重点企业2017年度缴税情况，对符合奖励扶持条件的企业进行了梳理汇总，对拟扶持金额进行了测算。</w:t>
      </w:r>
    </w:p>
    <w:p>
      <w:pPr>
        <w:spacing w:line="560" w:lineRule="exact"/>
        <w:ind w:firstLine="640" w:firstLineChars="200"/>
        <w:rPr>
          <w:rFonts w:ascii="仿宋" w:hAnsi="仿宋" w:eastAsia="仿宋"/>
          <w:szCs w:val="32"/>
        </w:rPr>
      </w:pPr>
      <w:r>
        <w:rPr>
          <w:rFonts w:ascii="仿宋" w:hAnsi="仿宋" w:eastAsia="仿宋"/>
          <w:szCs w:val="32"/>
        </w:rPr>
        <w:t>2.</w:t>
      </w:r>
      <w:r>
        <w:rPr>
          <w:rFonts w:hint="eastAsia" w:ascii="仿宋" w:hAnsi="仿宋" w:eastAsia="仿宋"/>
          <w:szCs w:val="32"/>
        </w:rPr>
        <w:t>组织实施。按照工作职能，我局会同区财政局、区税务局等相关职能部门对企业税收、招商引资考核认定金额、项目建设等相关情况一一进行了核实。于2018年12月底前，将2017年度企业扶持奖励全部兑现完毕。</w:t>
      </w:r>
    </w:p>
    <w:p>
      <w:pPr>
        <w:spacing w:line="560" w:lineRule="exact"/>
        <w:ind w:firstLine="640" w:firstLineChars="200"/>
        <w:rPr>
          <w:rFonts w:ascii="仿宋" w:hAnsi="仿宋" w:eastAsia="仿宋"/>
          <w:szCs w:val="32"/>
        </w:rPr>
      </w:pPr>
      <w:r>
        <w:rPr>
          <w:rFonts w:ascii="仿宋" w:hAnsi="仿宋" w:eastAsia="仿宋"/>
          <w:szCs w:val="32"/>
        </w:rPr>
        <w:t>3.</w:t>
      </w:r>
      <w:r>
        <w:rPr>
          <w:rFonts w:hint="eastAsia" w:ascii="仿宋" w:hAnsi="仿宋" w:eastAsia="仿宋"/>
          <w:szCs w:val="32"/>
        </w:rPr>
        <w:t>分析评价。近年来，呈贡区对</w:t>
      </w:r>
      <w:r>
        <w:rPr>
          <w:rFonts w:hint="eastAsia" w:ascii="仿宋" w:hAnsi="仿宋" w:eastAsia="仿宋"/>
          <w:szCs w:val="32"/>
          <w:shd w:val="clear" w:color="auto" w:fill="FFFFFF"/>
        </w:rPr>
        <w:t>企业各项服务水平不断提高，营造了良好的“招商、亲商、安商、富商”氛围，营商环境得到了进一步优化。为企业提供优惠扶持，充分释放政策红利，吸引了大量客商来呈贡区投资。2017年，世界500强企业中国中铁、中国交建、中海油等落户呈贡区；2018年，中国500强华侨城集团、行业龙头企业鹏瑞利集团等先后入驻呈贡，南博会期间呈贡区共有8个项目完成签约。</w:t>
      </w:r>
      <w:r>
        <w:rPr>
          <w:rFonts w:hint="eastAsia" w:ascii="仿宋" w:hAnsi="仿宋" w:eastAsia="仿宋"/>
          <w:szCs w:val="32"/>
        </w:rPr>
        <w:t>通过对企业的扶持，不断打造呈贡区成为“投资洼地”、投资者的热土。</w:t>
      </w:r>
    </w:p>
    <w:p>
      <w:pPr>
        <w:spacing w:line="560" w:lineRule="exact"/>
        <w:ind w:firstLine="640" w:firstLineChars="200"/>
        <w:rPr>
          <w:rFonts w:ascii="仿宋" w:hAnsi="仿宋" w:eastAsia="仿宋"/>
          <w:szCs w:val="32"/>
        </w:rPr>
      </w:pPr>
      <w:r>
        <w:rPr>
          <w:rFonts w:hint="eastAsia" w:ascii="仿宋" w:hAnsi="仿宋" w:eastAsia="仿宋"/>
          <w:szCs w:val="32"/>
        </w:rPr>
        <w:t>四、绩效评价指标分析情况</w:t>
      </w:r>
    </w:p>
    <w:p>
      <w:pPr>
        <w:spacing w:line="560" w:lineRule="exact"/>
        <w:ind w:firstLine="640" w:firstLineChars="200"/>
        <w:outlineLvl w:val="0"/>
        <w:rPr>
          <w:rFonts w:ascii="仿宋" w:hAnsi="仿宋" w:eastAsia="仿宋"/>
          <w:szCs w:val="32"/>
        </w:rPr>
      </w:pPr>
      <w:r>
        <w:rPr>
          <w:rFonts w:hint="eastAsia" w:ascii="仿宋" w:hAnsi="仿宋" w:eastAsia="仿宋"/>
          <w:szCs w:val="32"/>
        </w:rPr>
        <w:t>（一）项目资金情况分析</w:t>
      </w:r>
    </w:p>
    <w:p>
      <w:pPr>
        <w:spacing w:line="560" w:lineRule="exact"/>
        <w:ind w:firstLine="640" w:firstLineChars="200"/>
        <w:jc w:val="left"/>
        <w:rPr>
          <w:rFonts w:hint="eastAsia" w:ascii="仿宋" w:hAnsi="仿宋" w:eastAsia="仿宋"/>
          <w:szCs w:val="32"/>
          <w:lang w:eastAsia="zh-CN"/>
        </w:rPr>
      </w:pPr>
      <w:r>
        <w:rPr>
          <w:rFonts w:ascii="仿宋" w:hAnsi="仿宋" w:eastAsia="仿宋"/>
          <w:szCs w:val="32"/>
        </w:rPr>
        <w:t>1.</w:t>
      </w:r>
      <w:r>
        <w:rPr>
          <w:rFonts w:hint="eastAsia" w:ascii="仿宋" w:hAnsi="仿宋" w:eastAsia="仿宋"/>
          <w:szCs w:val="32"/>
        </w:rPr>
        <w:t>项目资金到位情况分析。2018年财政共安排招商引资企业扶持奖励资金</w:t>
      </w:r>
      <w:r>
        <w:rPr>
          <w:rFonts w:hint="eastAsia" w:ascii="仿宋" w:hAnsi="仿宋" w:eastAsia="仿宋"/>
          <w:szCs w:val="32"/>
          <w:lang w:val="en-US" w:eastAsia="zh-CN"/>
        </w:rPr>
        <w:t>310.02</w:t>
      </w:r>
      <w:r>
        <w:rPr>
          <w:rFonts w:hint="eastAsia" w:ascii="仿宋" w:hAnsi="仿宋" w:eastAsia="仿宋"/>
          <w:szCs w:val="32"/>
        </w:rPr>
        <w:t>万元、重点招商引资企业扶持金</w:t>
      </w:r>
      <w:r>
        <w:rPr>
          <w:rFonts w:hint="eastAsia" w:ascii="仿宋" w:hAnsi="仿宋" w:eastAsia="仿宋"/>
          <w:szCs w:val="32"/>
          <w:lang w:val="en-US" w:eastAsia="zh-CN"/>
        </w:rPr>
        <w:t>7136.79</w:t>
      </w:r>
      <w:r>
        <w:rPr>
          <w:rFonts w:hint="eastAsia" w:ascii="仿宋" w:hAnsi="仿宋" w:eastAsia="仿宋"/>
          <w:szCs w:val="32"/>
        </w:rPr>
        <w:t>万元、非用地类项目奖励扶持资金</w:t>
      </w:r>
      <w:r>
        <w:rPr>
          <w:rFonts w:hint="eastAsia" w:ascii="仿宋" w:hAnsi="仿宋" w:eastAsia="仿宋"/>
          <w:szCs w:val="32"/>
          <w:lang w:val="en-US" w:eastAsia="zh-CN"/>
        </w:rPr>
        <w:t>200</w:t>
      </w:r>
      <w:r>
        <w:rPr>
          <w:rFonts w:hint="eastAsia" w:ascii="仿宋" w:hAnsi="仿宋" w:eastAsia="仿宋"/>
          <w:szCs w:val="32"/>
        </w:rPr>
        <w:t>万元</w:t>
      </w:r>
      <w:r>
        <w:rPr>
          <w:rFonts w:hint="eastAsia" w:ascii="仿宋" w:hAnsi="仿宋" w:eastAsia="仿宋"/>
          <w:szCs w:val="32"/>
          <w:lang w:eastAsia="zh-CN"/>
        </w:rPr>
        <w:t>。</w:t>
      </w:r>
    </w:p>
    <w:p>
      <w:pPr>
        <w:spacing w:line="560" w:lineRule="exact"/>
        <w:ind w:firstLine="640" w:firstLineChars="200"/>
        <w:outlineLvl w:val="0"/>
        <w:rPr>
          <w:rFonts w:ascii="仿宋" w:hAnsi="仿宋" w:eastAsia="仿宋"/>
          <w:szCs w:val="32"/>
        </w:rPr>
      </w:pPr>
      <w:r>
        <w:rPr>
          <w:rFonts w:ascii="仿宋" w:hAnsi="仿宋" w:eastAsia="仿宋"/>
          <w:szCs w:val="32"/>
        </w:rPr>
        <w:t>2.</w:t>
      </w:r>
      <w:r>
        <w:rPr>
          <w:rFonts w:hint="eastAsia" w:ascii="仿宋" w:hAnsi="仿宋" w:eastAsia="仿宋"/>
          <w:szCs w:val="32"/>
        </w:rPr>
        <w:t>项目资金使用情况分析。</w:t>
      </w:r>
      <w:r>
        <w:rPr>
          <w:rFonts w:hint="eastAsia" w:ascii="仿宋" w:hAnsi="仿宋" w:eastAsia="仿宋" w:cs="宋体"/>
          <w:szCs w:val="32"/>
        </w:rPr>
        <w:t>截止2018年12月31日，已使用</w:t>
      </w:r>
      <w:r>
        <w:rPr>
          <w:rFonts w:hint="eastAsia" w:ascii="仿宋" w:hAnsi="仿宋" w:eastAsia="仿宋"/>
          <w:szCs w:val="32"/>
        </w:rPr>
        <w:t>企业扶持奖励资金</w:t>
      </w:r>
      <w:r>
        <w:rPr>
          <w:rFonts w:hint="eastAsia" w:ascii="仿宋" w:hAnsi="仿宋" w:eastAsia="仿宋"/>
          <w:szCs w:val="32"/>
          <w:lang w:val="en-US" w:eastAsia="zh-CN"/>
        </w:rPr>
        <w:t>266.48</w:t>
      </w:r>
      <w:r>
        <w:rPr>
          <w:rFonts w:hint="eastAsia" w:ascii="仿宋" w:hAnsi="仿宋" w:eastAsia="仿宋"/>
          <w:szCs w:val="32"/>
        </w:rPr>
        <w:t>万元、重点招商引资企业扶持金</w:t>
      </w:r>
      <w:r>
        <w:rPr>
          <w:rFonts w:hint="eastAsia" w:ascii="仿宋" w:hAnsi="仿宋" w:eastAsia="仿宋"/>
          <w:szCs w:val="32"/>
          <w:lang w:val="en-US" w:eastAsia="zh-CN"/>
        </w:rPr>
        <w:t>6651.57</w:t>
      </w:r>
      <w:r>
        <w:rPr>
          <w:rFonts w:hint="eastAsia" w:ascii="仿宋" w:hAnsi="仿宋" w:eastAsia="仿宋"/>
          <w:szCs w:val="32"/>
        </w:rPr>
        <w:t>万元、非用地类项目奖励扶持资金</w:t>
      </w:r>
      <w:r>
        <w:rPr>
          <w:rFonts w:hint="eastAsia" w:ascii="仿宋" w:hAnsi="仿宋" w:eastAsia="仿宋"/>
          <w:szCs w:val="32"/>
          <w:lang w:val="en-US" w:eastAsia="zh-CN"/>
        </w:rPr>
        <w:t>379.03</w:t>
      </w:r>
      <w:r>
        <w:rPr>
          <w:rFonts w:hint="eastAsia" w:ascii="仿宋" w:hAnsi="仿宋" w:eastAsia="仿宋"/>
          <w:szCs w:val="32"/>
        </w:rPr>
        <w:t>万元</w:t>
      </w:r>
      <w:r>
        <w:rPr>
          <w:rFonts w:hint="eastAsia" w:ascii="仿宋" w:hAnsi="仿宋" w:eastAsia="仿宋" w:cs="宋体"/>
          <w:szCs w:val="32"/>
        </w:rPr>
        <w:t>。</w:t>
      </w:r>
      <w:r>
        <w:rPr>
          <w:rFonts w:hint="eastAsia" w:ascii="仿宋" w:hAnsi="仿宋" w:eastAsia="仿宋"/>
          <w:shd w:val="clear" w:color="auto" w:fill="FFFFFF"/>
        </w:rPr>
        <w:t>从资金使用情况看，专项资金保障到位，到位及时；资金均用于开展呈贡区招商引资工作，专款专用率为100%，资金使用合规。</w:t>
      </w:r>
      <w:bookmarkStart w:id="0" w:name="_GoBack"/>
      <w:bookmarkEnd w:id="0"/>
    </w:p>
    <w:p>
      <w:pPr>
        <w:numPr>
          <w:ilvl w:val="0"/>
          <w:numId w:val="1"/>
        </w:numPr>
        <w:spacing w:line="560" w:lineRule="exact"/>
        <w:ind w:firstLine="640" w:firstLineChars="200"/>
        <w:jc w:val="left"/>
        <w:rPr>
          <w:rFonts w:ascii="仿宋" w:hAnsi="仿宋" w:eastAsia="仿宋" w:cs="宋体"/>
          <w:szCs w:val="32"/>
        </w:rPr>
      </w:pPr>
      <w:r>
        <w:rPr>
          <w:rFonts w:hint="eastAsia" w:ascii="仿宋" w:hAnsi="仿宋" w:eastAsia="仿宋"/>
          <w:szCs w:val="32"/>
        </w:rPr>
        <w:t>项目资金管理情况分析。</w:t>
      </w:r>
      <w:r>
        <w:rPr>
          <w:rFonts w:hint="eastAsia" w:ascii="仿宋" w:hAnsi="仿宋" w:eastAsia="仿宋" w:cs="宋体"/>
          <w:szCs w:val="32"/>
        </w:rPr>
        <w:t>我局制定了财务管理制度、公务接待管理制度、重大事项集体决策制度，项目资金支出时严格按照法律法规有关规定，规范招商引资专项资金的使用和管理，严格财政专项资金的审批拨付程序，实行专款专用，无挤占、挪用、截留等违法违规使用财政专项资金的现象。</w:t>
      </w:r>
    </w:p>
    <w:p>
      <w:pPr>
        <w:spacing w:line="560" w:lineRule="exact"/>
        <w:ind w:firstLine="640" w:firstLineChars="200"/>
        <w:outlineLvl w:val="0"/>
        <w:rPr>
          <w:rFonts w:ascii="仿宋" w:hAnsi="仿宋" w:eastAsia="仿宋"/>
          <w:szCs w:val="32"/>
        </w:rPr>
      </w:pPr>
      <w:r>
        <w:rPr>
          <w:rFonts w:hint="eastAsia" w:ascii="仿宋" w:hAnsi="仿宋" w:eastAsia="仿宋"/>
          <w:szCs w:val="32"/>
        </w:rPr>
        <w:t>（二）项目实施情况分析</w:t>
      </w:r>
    </w:p>
    <w:p>
      <w:pPr>
        <w:spacing w:line="560" w:lineRule="exact"/>
        <w:ind w:firstLine="640" w:firstLineChars="200"/>
        <w:rPr>
          <w:rFonts w:ascii="仿宋" w:hAnsi="仿宋" w:eastAsia="仿宋"/>
          <w:szCs w:val="32"/>
        </w:rPr>
      </w:pPr>
      <w:r>
        <w:rPr>
          <w:rFonts w:ascii="仿宋" w:hAnsi="仿宋" w:eastAsia="仿宋"/>
          <w:szCs w:val="32"/>
        </w:rPr>
        <w:t>1.</w:t>
      </w:r>
      <w:r>
        <w:rPr>
          <w:rFonts w:hint="eastAsia" w:ascii="仿宋" w:hAnsi="仿宋" w:eastAsia="仿宋"/>
          <w:szCs w:val="32"/>
        </w:rPr>
        <w:t>项目组织情况分析。</w:t>
      </w:r>
      <w:r>
        <w:rPr>
          <w:rFonts w:hint="eastAsia" w:ascii="仿宋" w:hAnsi="仿宋" w:eastAsia="仿宋" w:cs="宋体"/>
          <w:szCs w:val="32"/>
        </w:rPr>
        <w:t>区经投局按照区财政局布置的部门预算文件精神，根据工作开展需要，上报预算项目及资金。根据相关文件规定，按照2017年度兑现企业奖励扶持时间进度要求开展相关工作。</w:t>
      </w:r>
    </w:p>
    <w:p>
      <w:pPr>
        <w:spacing w:line="560" w:lineRule="exact"/>
        <w:ind w:firstLine="640" w:firstLineChars="200"/>
        <w:rPr>
          <w:rFonts w:ascii="仿宋" w:hAnsi="仿宋" w:eastAsia="仿宋"/>
          <w:szCs w:val="32"/>
        </w:rPr>
      </w:pPr>
      <w:r>
        <w:rPr>
          <w:rFonts w:ascii="仿宋" w:hAnsi="仿宋" w:eastAsia="仿宋"/>
          <w:szCs w:val="32"/>
        </w:rPr>
        <w:t>2.</w:t>
      </w:r>
      <w:r>
        <w:rPr>
          <w:rFonts w:hint="eastAsia" w:ascii="仿宋" w:hAnsi="仿宋" w:eastAsia="仿宋"/>
          <w:szCs w:val="32"/>
        </w:rPr>
        <w:t>项目管理情况分析。2018年，我局根据工作职能，认真</w:t>
      </w:r>
      <w:r>
        <w:rPr>
          <w:rFonts w:hint="eastAsia" w:ascii="仿宋" w:hAnsi="仿宋" w:eastAsia="仿宋" w:cs="宋体"/>
          <w:szCs w:val="32"/>
        </w:rPr>
        <w:t>做好符合呈贡区扶持政策的企业扶持金测算、统计、核实、兑现等工作，按照财务管理制度，加强资金拨付流程审核，严格专款</w:t>
      </w:r>
      <w:r>
        <w:rPr>
          <w:rFonts w:hint="eastAsia" w:ascii="仿宋" w:hAnsi="仿宋" w:eastAsia="仿宋"/>
          <w:szCs w:val="32"/>
        </w:rPr>
        <w:t>专用，通过资金使用并能产生一定的经济、社会效益，吸引优质企业落户呈贡区。</w:t>
      </w:r>
    </w:p>
    <w:p>
      <w:pPr>
        <w:spacing w:line="560" w:lineRule="exact"/>
        <w:ind w:firstLine="640" w:firstLineChars="200"/>
        <w:outlineLvl w:val="0"/>
        <w:rPr>
          <w:rFonts w:ascii="仿宋" w:hAnsi="仿宋" w:eastAsia="仿宋"/>
          <w:szCs w:val="32"/>
        </w:rPr>
      </w:pPr>
      <w:r>
        <w:rPr>
          <w:rFonts w:hint="eastAsia" w:ascii="仿宋" w:hAnsi="仿宋" w:eastAsia="仿宋"/>
          <w:szCs w:val="32"/>
        </w:rPr>
        <w:t>（三）项目绩效情况分析。</w:t>
      </w:r>
    </w:p>
    <w:p>
      <w:pPr>
        <w:spacing w:line="560" w:lineRule="exact"/>
        <w:ind w:firstLine="640" w:firstLineChars="200"/>
        <w:rPr>
          <w:rFonts w:ascii="仿宋" w:hAnsi="仿宋" w:eastAsia="仿宋"/>
          <w:szCs w:val="32"/>
        </w:rPr>
      </w:pPr>
      <w:r>
        <w:rPr>
          <w:rFonts w:ascii="仿宋" w:hAnsi="仿宋" w:eastAsia="仿宋"/>
          <w:szCs w:val="32"/>
        </w:rPr>
        <w:t>1.</w:t>
      </w:r>
      <w:r>
        <w:rPr>
          <w:rFonts w:hint="eastAsia" w:ascii="仿宋" w:hAnsi="仿宋" w:eastAsia="仿宋"/>
          <w:szCs w:val="32"/>
        </w:rPr>
        <w:t>项目经济性分析。按照相关文件规定，对项目支出的经费使用情况进行监督检查，项目资金支出时严格按照程序进行决策。</w:t>
      </w:r>
    </w:p>
    <w:p>
      <w:pPr>
        <w:spacing w:line="560" w:lineRule="exact"/>
        <w:ind w:firstLine="640" w:firstLineChars="200"/>
        <w:outlineLvl w:val="0"/>
        <w:rPr>
          <w:rFonts w:ascii="仿宋" w:hAnsi="仿宋" w:eastAsia="仿宋"/>
          <w:szCs w:val="32"/>
        </w:rPr>
      </w:pPr>
      <w:r>
        <w:rPr>
          <w:rFonts w:ascii="仿宋" w:hAnsi="仿宋" w:eastAsia="仿宋"/>
          <w:szCs w:val="32"/>
        </w:rPr>
        <w:t>2.</w:t>
      </w:r>
      <w:r>
        <w:rPr>
          <w:rFonts w:hint="eastAsia" w:ascii="仿宋" w:hAnsi="仿宋" w:eastAsia="仿宋"/>
          <w:szCs w:val="32"/>
        </w:rPr>
        <w:t>项目的效率性分析。根据《呈贡区促进内培外引工作奖励扶持意见（暂行）》（呈新工委通〔2012〕29号）、《昆明市呈贡人民政府关于进一步促进全区经济平稳健康发展28条措施的意见》文件精神，我局及时对扶持资金进行兑现。</w:t>
      </w:r>
    </w:p>
    <w:p>
      <w:pPr>
        <w:spacing w:line="560" w:lineRule="exact"/>
        <w:ind w:firstLine="640" w:firstLineChars="200"/>
        <w:rPr>
          <w:rFonts w:ascii="仿宋" w:hAnsi="仿宋" w:eastAsia="仿宋" w:cs="仿宋_GB2312"/>
          <w:szCs w:val="32"/>
        </w:rPr>
      </w:pPr>
      <w:r>
        <w:rPr>
          <w:rFonts w:ascii="仿宋" w:hAnsi="仿宋" w:eastAsia="仿宋"/>
          <w:szCs w:val="32"/>
        </w:rPr>
        <w:t>3.</w:t>
      </w:r>
      <w:r>
        <w:rPr>
          <w:rFonts w:hint="eastAsia" w:ascii="仿宋" w:hAnsi="仿宋" w:eastAsia="仿宋"/>
          <w:szCs w:val="32"/>
        </w:rPr>
        <w:t>项目的效益性分析。</w:t>
      </w:r>
      <w:r>
        <w:rPr>
          <w:rFonts w:hint="eastAsia" w:ascii="仿宋" w:hAnsi="仿宋" w:eastAsia="仿宋" w:cs="仿宋_GB2312"/>
          <w:szCs w:val="32"/>
        </w:rPr>
        <w:t>近年来，通过对营商环境的不断打造，呈贡区招商投资总量持续增长，招大引强成效明显，到呈贡投资的</w:t>
      </w:r>
      <w:r>
        <w:rPr>
          <w:rFonts w:hint="eastAsia" w:ascii="仿宋" w:hAnsi="仿宋" w:eastAsia="仿宋" w:cs="仿宋_GB2312"/>
          <w:bCs/>
          <w:spacing w:val="-6"/>
          <w:szCs w:val="32"/>
        </w:rPr>
        <w:t>港澳台、京津冀、长三角、珠三角等地区的</w:t>
      </w:r>
      <w:r>
        <w:rPr>
          <w:rFonts w:hint="eastAsia" w:ascii="仿宋" w:hAnsi="仿宋" w:eastAsia="仿宋" w:cs="仿宋_GB2312"/>
          <w:szCs w:val="32"/>
        </w:rPr>
        <w:t>知名企业逐年增多，世界500强、中国500强、行业龙头企业落户呈贡的数量和质量不断提升，产业聚集效应初步显现。中铁西南区域总部、中交云南总部、中海油云南总部等世界500强总部、中国500强华侨城集团、康美药业、鹏瑞利集团等先后入驻呈贡区；新城控股集团吾悦广场、置信银河广场、涌鑫哈佛中心等城市商业综合体项目投入建设或运营；启明星辰西南区域总部基地、优必选智能机器人产业园等信息产业项目启动建设；蓝光欢乐城、华侨城集团项目等形成文旅项目聚集。</w:t>
      </w:r>
    </w:p>
    <w:p>
      <w:pPr>
        <w:spacing w:line="560" w:lineRule="exact"/>
        <w:ind w:firstLine="640" w:firstLineChars="200"/>
        <w:rPr>
          <w:rFonts w:ascii="仿宋" w:hAnsi="仿宋" w:eastAsia="仿宋"/>
          <w:szCs w:val="32"/>
        </w:rPr>
      </w:pPr>
      <w:r>
        <w:rPr>
          <w:rFonts w:hint="eastAsia" w:ascii="仿宋" w:hAnsi="仿宋" w:eastAsia="仿宋"/>
          <w:szCs w:val="32"/>
        </w:rPr>
        <w:t>五、综合评价情况及评价结论</w:t>
      </w:r>
    </w:p>
    <w:p>
      <w:pPr>
        <w:spacing w:line="560" w:lineRule="exact"/>
        <w:ind w:firstLine="640" w:firstLineChars="200"/>
        <w:jc w:val="left"/>
        <w:rPr>
          <w:rFonts w:ascii="仿宋" w:hAnsi="仿宋" w:eastAsia="仿宋"/>
          <w:b/>
          <w:szCs w:val="32"/>
        </w:rPr>
      </w:pPr>
      <w:r>
        <w:rPr>
          <w:rFonts w:hint="eastAsia" w:ascii="仿宋" w:hAnsi="仿宋" w:eastAsia="仿宋"/>
          <w:szCs w:val="32"/>
        </w:rPr>
        <w:t>对招商引资企业扶持奖励资金、重点招商引资企业扶持金、非用地类项目奖励扶持资金项目支出绩效评价自评为96分</w:t>
      </w:r>
      <w:r>
        <w:rPr>
          <w:rFonts w:hint="eastAsia" w:ascii="仿宋" w:hAnsi="仿宋" w:eastAsia="仿宋"/>
          <w:b/>
          <w:szCs w:val="32"/>
        </w:rPr>
        <w:t>。</w:t>
      </w:r>
    </w:p>
    <w:p>
      <w:pPr>
        <w:spacing w:line="560" w:lineRule="exact"/>
        <w:ind w:firstLine="640" w:firstLineChars="200"/>
        <w:rPr>
          <w:rFonts w:ascii="仿宋" w:hAnsi="仿宋" w:eastAsia="仿宋"/>
          <w:szCs w:val="32"/>
        </w:rPr>
      </w:pPr>
      <w:r>
        <w:rPr>
          <w:rFonts w:hint="eastAsia" w:ascii="仿宋" w:hAnsi="仿宋" w:eastAsia="仿宋"/>
          <w:szCs w:val="32"/>
        </w:rPr>
        <w:t>六、绩效评价结果应用建议</w:t>
      </w:r>
    </w:p>
    <w:p>
      <w:pPr>
        <w:spacing w:line="560" w:lineRule="exact"/>
        <w:ind w:firstLine="640" w:firstLineChars="200"/>
        <w:rPr>
          <w:rFonts w:ascii="仿宋" w:hAnsi="仿宋" w:eastAsia="仿宋"/>
          <w:bCs/>
          <w:szCs w:val="32"/>
        </w:rPr>
      </w:pPr>
      <w:r>
        <w:rPr>
          <w:rFonts w:hint="eastAsia" w:ascii="仿宋" w:hAnsi="仿宋" w:eastAsia="仿宋"/>
          <w:bCs/>
          <w:szCs w:val="32"/>
        </w:rPr>
        <w:t>鉴于评价结果，为继续做好全区招商引资工作，将呈贡区打造成为投资洼地，建议加大资金，按照省、市、区要求，做好世界500强、中国500强、行业龙头企业等的精准招商及“招大引强”工作。</w:t>
      </w:r>
    </w:p>
    <w:p>
      <w:pPr>
        <w:spacing w:line="560" w:lineRule="exact"/>
        <w:ind w:firstLine="640" w:firstLineChars="200"/>
        <w:rPr>
          <w:rFonts w:ascii="仿宋" w:hAnsi="仿宋" w:eastAsia="仿宋"/>
          <w:szCs w:val="32"/>
        </w:rPr>
      </w:pPr>
      <w:r>
        <w:rPr>
          <w:rFonts w:hint="eastAsia" w:ascii="仿宋" w:hAnsi="仿宋" w:eastAsia="仿宋"/>
          <w:szCs w:val="32"/>
        </w:rPr>
        <w:t>七、主要经验及做法</w:t>
      </w:r>
    </w:p>
    <w:p>
      <w:pPr>
        <w:widowControl/>
        <w:shd w:val="clear" w:color="auto" w:fill="FFFFFF"/>
        <w:spacing w:line="560" w:lineRule="exact"/>
        <w:ind w:firstLine="640" w:firstLineChars="200"/>
        <w:jc w:val="left"/>
        <w:rPr>
          <w:rFonts w:ascii="仿宋" w:hAnsi="仿宋" w:eastAsia="仿宋" w:cs="宋体"/>
          <w:kern w:val="0"/>
          <w:szCs w:val="32"/>
        </w:rPr>
      </w:pPr>
      <w:r>
        <w:rPr>
          <w:rFonts w:hint="eastAsia" w:ascii="仿宋" w:hAnsi="仿宋" w:eastAsia="仿宋" w:cs="宋体"/>
          <w:kern w:val="0"/>
          <w:szCs w:val="32"/>
        </w:rPr>
        <w:t>（一）做好项目预算</w:t>
      </w:r>
    </w:p>
    <w:p>
      <w:pPr>
        <w:widowControl/>
        <w:shd w:val="clear" w:color="auto" w:fill="FFFFFF"/>
        <w:spacing w:line="560" w:lineRule="exact"/>
        <w:ind w:firstLine="640" w:firstLineChars="200"/>
        <w:jc w:val="left"/>
        <w:rPr>
          <w:rFonts w:ascii="仿宋" w:hAnsi="仿宋" w:eastAsia="仿宋" w:cs="宋体"/>
          <w:kern w:val="0"/>
          <w:szCs w:val="32"/>
        </w:rPr>
      </w:pPr>
      <w:r>
        <w:rPr>
          <w:rFonts w:hint="eastAsia" w:ascii="仿宋" w:hAnsi="仿宋" w:eastAsia="仿宋" w:cs="宋体"/>
          <w:kern w:val="0"/>
          <w:szCs w:val="32"/>
        </w:rPr>
        <w:t>我局在编报项目预算时责任到人，以保证专项资金均能够保质保量执行到位，最后提交局办公会研究确定。</w:t>
      </w:r>
    </w:p>
    <w:p>
      <w:pPr>
        <w:widowControl/>
        <w:shd w:val="clear" w:color="auto" w:fill="FFFFFF"/>
        <w:spacing w:line="560" w:lineRule="exact"/>
        <w:ind w:firstLine="640" w:firstLineChars="200"/>
        <w:jc w:val="left"/>
        <w:rPr>
          <w:rFonts w:ascii="仿宋" w:hAnsi="仿宋" w:eastAsia="仿宋" w:cs="宋体"/>
          <w:kern w:val="0"/>
          <w:szCs w:val="32"/>
        </w:rPr>
      </w:pPr>
      <w:r>
        <w:rPr>
          <w:rFonts w:hint="eastAsia" w:ascii="仿宋" w:hAnsi="仿宋" w:eastAsia="仿宋" w:cs="宋体"/>
          <w:kern w:val="0"/>
          <w:szCs w:val="32"/>
        </w:rPr>
        <w:t>（二）资金调整及时有效</w:t>
      </w:r>
    </w:p>
    <w:p>
      <w:pPr>
        <w:widowControl/>
        <w:shd w:val="clear" w:color="auto" w:fill="FFFFFF"/>
        <w:spacing w:line="560" w:lineRule="exact"/>
        <w:ind w:firstLine="640" w:firstLineChars="200"/>
        <w:jc w:val="left"/>
        <w:rPr>
          <w:rFonts w:ascii="仿宋" w:hAnsi="仿宋" w:eastAsia="仿宋" w:cs="宋体"/>
          <w:kern w:val="0"/>
          <w:szCs w:val="32"/>
        </w:rPr>
      </w:pPr>
      <w:r>
        <w:rPr>
          <w:rFonts w:hint="eastAsia" w:ascii="仿宋" w:hAnsi="仿宋" w:eastAsia="仿宋" w:cs="宋体"/>
          <w:kern w:val="0"/>
          <w:szCs w:val="32"/>
        </w:rPr>
        <w:t>我局根据严格跟踪管理专项资金的执行进度。一是及时将预算批复传达到各专项资金项目组织实施科室；二是建立专项资金定期通报定期调度机制；三是建立专项资金定期调整机制，统筹考虑项目推进实际，对执行进度较慢的招商推介会活动经费及时进行了调减。定期的调度和及时的预算调整，为我局年度预算执行率目标的完成提供了有利条件。</w:t>
      </w:r>
    </w:p>
    <w:p>
      <w:pPr>
        <w:spacing w:line="560" w:lineRule="exact"/>
        <w:ind w:firstLine="640" w:firstLineChars="200"/>
        <w:rPr>
          <w:rFonts w:ascii="仿宋" w:hAnsi="仿宋" w:eastAsia="仿宋"/>
          <w:szCs w:val="32"/>
        </w:rPr>
      </w:pPr>
      <w:r>
        <w:rPr>
          <w:rFonts w:hint="eastAsia" w:ascii="仿宋" w:hAnsi="仿宋" w:eastAsia="仿宋"/>
          <w:szCs w:val="32"/>
        </w:rPr>
        <w:t>八、存在的问题和整改措施</w:t>
      </w:r>
    </w:p>
    <w:p>
      <w:pPr>
        <w:widowControl/>
        <w:shd w:val="clear" w:color="auto" w:fill="FFFFFF"/>
        <w:spacing w:line="560" w:lineRule="exact"/>
        <w:ind w:firstLine="640" w:firstLineChars="200"/>
        <w:jc w:val="left"/>
        <w:rPr>
          <w:rFonts w:ascii="仿宋" w:hAnsi="仿宋" w:eastAsia="仿宋" w:cs="宋体"/>
          <w:kern w:val="0"/>
          <w:szCs w:val="32"/>
        </w:rPr>
      </w:pPr>
      <w:r>
        <w:rPr>
          <w:rFonts w:hint="eastAsia" w:ascii="仿宋" w:hAnsi="仿宋" w:eastAsia="仿宋" w:cs="宋体"/>
          <w:kern w:val="0"/>
          <w:szCs w:val="32"/>
        </w:rPr>
        <w:t>（一）存在的问题</w:t>
      </w:r>
    </w:p>
    <w:p>
      <w:pPr>
        <w:widowControl/>
        <w:shd w:val="clear" w:color="auto" w:fill="FFFFFF"/>
        <w:spacing w:line="560" w:lineRule="exact"/>
        <w:ind w:firstLine="640" w:firstLineChars="200"/>
        <w:jc w:val="left"/>
        <w:rPr>
          <w:rFonts w:ascii="仿宋" w:hAnsi="仿宋" w:eastAsia="仿宋" w:cs="宋体"/>
          <w:kern w:val="0"/>
          <w:szCs w:val="32"/>
        </w:rPr>
      </w:pPr>
      <w:r>
        <w:rPr>
          <w:rFonts w:hint="eastAsia" w:ascii="仿宋" w:hAnsi="仿宋" w:eastAsia="仿宋" w:cs="宋体"/>
          <w:kern w:val="0"/>
          <w:szCs w:val="32"/>
        </w:rPr>
        <w:t>专项资金整合力度还需提升。我局2018年度兑现企业扶持专项资金分3个，从项目总量看上，子专项资金过多，一定程度增加了管理难度，同时也会造成财政资金使用过于分散。对此，今后还需继续进行整合，以优化管理。</w:t>
      </w:r>
    </w:p>
    <w:p>
      <w:pPr>
        <w:widowControl/>
        <w:shd w:val="clear" w:color="auto" w:fill="FFFFFF"/>
        <w:spacing w:line="560" w:lineRule="exact"/>
        <w:ind w:firstLine="640" w:firstLineChars="200"/>
        <w:jc w:val="left"/>
        <w:rPr>
          <w:rFonts w:ascii="仿宋" w:hAnsi="仿宋" w:eastAsia="仿宋" w:cs="宋体"/>
          <w:kern w:val="0"/>
          <w:szCs w:val="32"/>
        </w:rPr>
      </w:pPr>
      <w:r>
        <w:rPr>
          <w:rFonts w:hint="eastAsia" w:ascii="仿宋" w:hAnsi="仿宋" w:eastAsia="仿宋" w:cs="宋体"/>
          <w:kern w:val="0"/>
          <w:szCs w:val="32"/>
        </w:rPr>
        <w:t>（二）相关整改措施</w:t>
      </w:r>
    </w:p>
    <w:p>
      <w:pPr>
        <w:widowControl/>
        <w:shd w:val="clear" w:color="auto" w:fill="FFFFFF"/>
        <w:spacing w:line="560" w:lineRule="exact"/>
        <w:ind w:firstLine="640" w:firstLineChars="200"/>
        <w:jc w:val="left"/>
        <w:rPr>
          <w:rFonts w:ascii="仿宋" w:hAnsi="仿宋" w:eastAsia="仿宋" w:cs="宋体"/>
          <w:kern w:val="0"/>
          <w:szCs w:val="32"/>
        </w:rPr>
      </w:pPr>
      <w:r>
        <w:rPr>
          <w:rFonts w:hint="eastAsia" w:ascii="仿宋" w:hAnsi="仿宋" w:eastAsia="仿宋" w:cs="宋体"/>
          <w:kern w:val="0"/>
          <w:szCs w:val="32"/>
        </w:rPr>
        <w:t>针对目前专项资金数量过多的问题，我局将进一步梳理现有专项资金，按照资金使用方向的不同进行归类，加强专项资金的整合力度，在大类中对政策目标一致或扶持对象一致的项目再进行整合，以便提升管理效率。</w:t>
      </w:r>
    </w:p>
    <w:p>
      <w:pPr>
        <w:spacing w:line="560" w:lineRule="exact"/>
        <w:rPr>
          <w:rFonts w:ascii="仿宋" w:hAnsi="仿宋" w:eastAsia="仿宋"/>
        </w:rPr>
      </w:pPr>
    </w:p>
    <w:p>
      <w:pPr>
        <w:spacing w:line="560" w:lineRule="exact"/>
        <w:rPr>
          <w:rFonts w:hint="eastAsia" w:ascii="仿宋" w:hAnsi="仿宋" w:eastAsia="仿宋" w:cs="宋体"/>
          <w:szCs w:val="32"/>
        </w:rPr>
      </w:pPr>
    </w:p>
    <w:p>
      <w:pPr>
        <w:spacing w:line="560" w:lineRule="exact"/>
        <w:ind w:firstLine="3520" w:firstLineChars="1100"/>
        <w:rPr>
          <w:rFonts w:ascii="仿宋" w:hAnsi="仿宋" w:eastAsia="仿宋" w:cs="宋体"/>
          <w:szCs w:val="32"/>
        </w:rPr>
      </w:pPr>
      <w:r>
        <w:rPr>
          <w:rFonts w:hint="eastAsia" w:ascii="仿宋" w:hAnsi="仿宋" w:eastAsia="仿宋" w:cs="宋体"/>
          <w:szCs w:val="32"/>
        </w:rPr>
        <w:t>呈贡区</w:t>
      </w:r>
      <w:r>
        <w:rPr>
          <w:rFonts w:hint="eastAsia" w:ascii="仿宋" w:hAnsi="仿宋" w:eastAsia="仿宋" w:cs="宋体"/>
          <w:szCs w:val="32"/>
          <w:lang w:val="en-US" w:eastAsia="zh-CN"/>
        </w:rPr>
        <w:t>经济贸易</w:t>
      </w:r>
      <w:r>
        <w:rPr>
          <w:rFonts w:hint="eastAsia" w:ascii="仿宋" w:hAnsi="仿宋" w:eastAsia="仿宋" w:cs="宋体"/>
          <w:szCs w:val="32"/>
        </w:rPr>
        <w:t>和投资促进局</w:t>
      </w:r>
    </w:p>
    <w:p>
      <w:pPr>
        <w:spacing w:line="560" w:lineRule="exact"/>
        <w:ind w:left="160" w:leftChars="50" w:firstLine="480" w:firstLineChars="150"/>
        <w:rPr>
          <w:rFonts w:ascii="仿宋" w:hAnsi="仿宋" w:eastAsia="仿宋" w:cs="宋体"/>
          <w:szCs w:val="32"/>
        </w:rPr>
      </w:pPr>
      <w:r>
        <w:rPr>
          <w:rFonts w:hint="eastAsia" w:ascii="仿宋" w:hAnsi="仿宋" w:eastAsia="仿宋" w:cs="宋体"/>
          <w:szCs w:val="32"/>
        </w:rPr>
        <w:t xml:space="preserve">                        2019年3月28日</w:t>
      </w:r>
    </w:p>
    <w:p>
      <w:pPr>
        <w:tabs>
          <w:tab w:val="left" w:pos="5640"/>
        </w:tabs>
        <w:ind w:firstLine="723" w:firstLineChars="200"/>
        <w:rPr>
          <w:rFonts w:ascii="仿宋" w:hAnsi="仿宋" w:eastAsia="仿宋"/>
          <w:b/>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C726E"/>
    <w:multiLevelType w:val="singleLevel"/>
    <w:tmpl w:val="58FC726E"/>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D2E64"/>
    <w:rsid w:val="0000765F"/>
    <w:rsid w:val="000114FE"/>
    <w:rsid w:val="00111F31"/>
    <w:rsid w:val="00177733"/>
    <w:rsid w:val="00220F9E"/>
    <w:rsid w:val="0027527E"/>
    <w:rsid w:val="00316087"/>
    <w:rsid w:val="0048524B"/>
    <w:rsid w:val="00532722"/>
    <w:rsid w:val="00673241"/>
    <w:rsid w:val="00675D0E"/>
    <w:rsid w:val="006B29F6"/>
    <w:rsid w:val="006E194C"/>
    <w:rsid w:val="006E507D"/>
    <w:rsid w:val="006F34B5"/>
    <w:rsid w:val="006F4FA6"/>
    <w:rsid w:val="007016A6"/>
    <w:rsid w:val="0071706D"/>
    <w:rsid w:val="00767633"/>
    <w:rsid w:val="00A0030B"/>
    <w:rsid w:val="00AD2E64"/>
    <w:rsid w:val="00AF7C76"/>
    <w:rsid w:val="00BE7261"/>
    <w:rsid w:val="00C52F8F"/>
    <w:rsid w:val="00C842EF"/>
    <w:rsid w:val="00E57617"/>
    <w:rsid w:val="00E664A3"/>
    <w:rsid w:val="00F82A58"/>
    <w:rsid w:val="68A87046"/>
    <w:rsid w:val="751B7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Times New Roman" w:hAnsi="Times New Roman" w:eastAsia="仿宋_GB2312" w:cs="Times New Roman"/>
      <w:sz w:val="18"/>
      <w:szCs w:val="18"/>
    </w:rPr>
  </w:style>
  <w:style w:type="character" w:customStyle="1" w:styleId="7">
    <w:name w:val="页脚 Char"/>
    <w:basedOn w:val="5"/>
    <w:link w:val="2"/>
    <w:semiHidden/>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449</Words>
  <Characters>2561</Characters>
  <Lines>21</Lines>
  <Paragraphs>6</Paragraphs>
  <TotalTime>136</TotalTime>
  <ScaleCrop>false</ScaleCrop>
  <LinksUpToDate>false</LinksUpToDate>
  <CharactersWithSpaces>3004</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2019-03-25T07:25:00Z</dcterms:created>
  <dc:creator>Administrator</dc:creator>
  <cp:lastModifiedBy>马彦昆</cp:lastModifiedBy>
  <cp:lastPrinted>2019-03-27T08:38:00Z</cp:lastPrinted>
  <dcterms:modified xsi:type="dcterms:W3CDTF">2019-03-31T14:52:52Z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