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DE" w:rsidRDefault="00DA6EDE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p w:rsidR="00DA5AA3" w:rsidRDefault="004E5D6C">
      <w:pPr>
        <w:spacing w:line="600" w:lineRule="exact"/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4E5D6C">
        <w:rPr>
          <w:rFonts w:asciiTheme="majorEastAsia" w:eastAsiaTheme="majorEastAsia" w:hAnsiTheme="majorEastAsia" w:hint="eastAsia"/>
          <w:sz w:val="44"/>
          <w:szCs w:val="44"/>
        </w:rPr>
        <w:t>昆明市规划局呈贡分局</w:t>
      </w:r>
      <w:r w:rsidR="00DA5AA3">
        <w:rPr>
          <w:rFonts w:asciiTheme="majorEastAsia" w:eastAsiaTheme="majorEastAsia" w:hAnsiTheme="majorEastAsia" w:hint="eastAsia"/>
          <w:sz w:val="44"/>
          <w:szCs w:val="44"/>
        </w:rPr>
        <w:t>工作经费</w:t>
      </w:r>
    </w:p>
    <w:p w:rsidR="00DA6EDE" w:rsidRPr="004E5D6C" w:rsidRDefault="00DD03D0" w:rsidP="00DA5AA3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4E5D6C">
        <w:rPr>
          <w:rFonts w:asciiTheme="majorEastAsia" w:eastAsiaTheme="majorEastAsia" w:hAnsiTheme="majorEastAsia"/>
          <w:sz w:val="44"/>
          <w:szCs w:val="44"/>
        </w:rPr>
        <w:t>项目支出绩效评价报告</w:t>
      </w:r>
    </w:p>
    <w:p w:rsidR="00DA6EDE" w:rsidRPr="004E5D6C" w:rsidRDefault="00DA6EDE">
      <w:pPr>
        <w:jc w:val="center"/>
        <w:rPr>
          <w:rFonts w:asciiTheme="majorEastAsia" w:eastAsiaTheme="majorEastAsia" w:hAnsiTheme="majorEastAsia"/>
          <w:szCs w:val="32"/>
        </w:rPr>
      </w:pPr>
    </w:p>
    <w:p w:rsidR="00DA6EDE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一、基本情况</w:t>
      </w:r>
    </w:p>
    <w:p w:rsidR="00DA6EDE" w:rsidRPr="009F1968" w:rsidRDefault="00DD03D0" w:rsidP="00D4605D">
      <w:pPr>
        <w:ind w:firstLineChars="200" w:firstLine="599"/>
        <w:outlineLvl w:val="0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（一）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分局2018年度工作经费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（二）项目绩效目标。</w:t>
      </w:r>
      <w:r w:rsidRPr="009F1968">
        <w:rPr>
          <w:rFonts w:ascii="仿宋" w:eastAsia="仿宋" w:hAnsi="仿宋"/>
          <w:color w:val="000000" w:themeColor="text1"/>
          <w:szCs w:val="32"/>
        </w:rPr>
        <w:t>1.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完成呈贡区规划审批服务工作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  <w:r w:rsidRPr="009F1968">
        <w:rPr>
          <w:rFonts w:ascii="仿宋" w:eastAsia="仿宋" w:hAnsi="仿宋"/>
          <w:color w:val="000000" w:themeColor="text1"/>
          <w:szCs w:val="32"/>
        </w:rPr>
        <w:t>2.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项目绩效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呈贡区三年发展开局年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二、项目单位绩效报告情况</w:t>
      </w:r>
    </w:p>
    <w:p w:rsidR="00D4605D" w:rsidRPr="009F1968" w:rsidRDefault="00D4605D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绩效较好，取得了较好的社会经济效益。</w:t>
      </w:r>
    </w:p>
    <w:p w:rsidR="00DA6EDE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三、绩效评价工作情况</w:t>
      </w:r>
    </w:p>
    <w:p w:rsidR="00D4605D" w:rsidRPr="009F1968" w:rsidRDefault="00DD03D0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（一）绩效评价目的</w:t>
      </w:r>
    </w:p>
    <w:p w:rsidR="00D4605D" w:rsidRPr="009F1968" w:rsidRDefault="00D4605D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高效利用好财政资金</w:t>
      </w:r>
      <w:r w:rsidR="00DD03D0"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4605D" w:rsidRPr="009F1968" w:rsidRDefault="00DD03D0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（二）绩效评价原则、评价指标体系、评价方法。</w:t>
      </w:r>
    </w:p>
    <w:p w:rsidR="00D4605D" w:rsidRPr="009F1968" w:rsidRDefault="00D4605D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按照相关的法律法规。</w:t>
      </w:r>
    </w:p>
    <w:p w:rsidR="00D4605D" w:rsidRPr="009F1968" w:rsidRDefault="00DD03D0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（三）绩效评价工作过程。</w:t>
      </w:r>
    </w:p>
    <w:p w:rsidR="00DA6EDE" w:rsidRPr="009F1968" w:rsidRDefault="00DD03D0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/>
          <w:color w:val="000000" w:themeColor="text1"/>
          <w:szCs w:val="32"/>
        </w:rPr>
        <w:t>1.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前期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充分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准备。</w:t>
      </w:r>
      <w:r w:rsidRPr="009F1968">
        <w:rPr>
          <w:rFonts w:ascii="仿宋" w:eastAsia="仿宋" w:hAnsi="仿宋"/>
          <w:color w:val="000000" w:themeColor="text1"/>
          <w:szCs w:val="32"/>
        </w:rPr>
        <w:t>2.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严密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组织实施。</w:t>
      </w:r>
      <w:r w:rsidRPr="009F1968">
        <w:rPr>
          <w:rFonts w:ascii="仿宋" w:eastAsia="仿宋" w:hAnsi="仿宋"/>
          <w:color w:val="000000" w:themeColor="text1"/>
          <w:szCs w:val="32"/>
        </w:rPr>
        <w:t>3.</w:t>
      </w:r>
      <w:r w:rsidR="00D4605D" w:rsidRPr="009F1968">
        <w:rPr>
          <w:rFonts w:ascii="仿宋" w:eastAsia="仿宋" w:hAnsi="仿宋" w:hint="eastAsia"/>
          <w:color w:val="000000" w:themeColor="text1"/>
          <w:szCs w:val="32"/>
        </w:rPr>
        <w:t>评价良好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四、绩效评价指标分析情况</w:t>
      </w:r>
    </w:p>
    <w:p w:rsidR="00DA5AA3" w:rsidRPr="009F1968" w:rsidRDefault="00DD03D0" w:rsidP="00DA5AA3">
      <w:pPr>
        <w:spacing w:line="560" w:lineRule="exact"/>
        <w:ind w:firstLineChars="200" w:firstLine="599"/>
        <w:rPr>
          <w:rFonts w:ascii="仿宋" w:eastAsia="仿宋" w:hAnsi="仿宋" w:hint="eastAsia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（一）项目资金情况分析。</w:t>
      </w:r>
    </w:p>
    <w:p w:rsidR="00DA5AA3" w:rsidRPr="009F1968" w:rsidRDefault="00DA5AA3" w:rsidP="00DA5AA3">
      <w:pPr>
        <w:spacing w:line="560" w:lineRule="exact"/>
        <w:ind w:firstLineChars="200" w:firstLine="602"/>
        <w:rPr>
          <w:rFonts w:ascii="仿宋" w:eastAsia="仿宋" w:hAnsi="仿宋" w:hint="eastAsia"/>
          <w:b/>
          <w:color w:val="000000" w:themeColor="text1"/>
          <w:szCs w:val="32"/>
        </w:rPr>
      </w:pPr>
      <w:r w:rsidRPr="009F1968">
        <w:rPr>
          <w:rFonts w:ascii="仿宋" w:eastAsia="仿宋" w:hAnsi="仿宋"/>
          <w:b/>
          <w:color w:val="000000" w:themeColor="text1"/>
          <w:szCs w:val="32"/>
        </w:rPr>
        <w:t>1.</w:t>
      </w:r>
      <w:r w:rsidRPr="009F1968">
        <w:rPr>
          <w:rFonts w:ascii="仿宋" w:eastAsia="仿宋" w:hAnsi="仿宋" w:hint="eastAsia"/>
          <w:b/>
          <w:color w:val="000000" w:themeColor="text1"/>
          <w:szCs w:val="32"/>
        </w:rPr>
        <w:t xml:space="preserve">项目资金到位情况分析 </w:t>
      </w:r>
    </w:p>
    <w:p w:rsidR="00DA5AA3" w:rsidRPr="009F1968" w:rsidRDefault="00DA5AA3" w:rsidP="00DA5AA3">
      <w:pPr>
        <w:spacing w:line="560" w:lineRule="exact"/>
        <w:ind w:firstLineChars="450" w:firstLine="1349"/>
        <w:rPr>
          <w:rFonts w:ascii="仿宋" w:eastAsia="仿宋" w:hAnsi="仿宋" w:hint="eastAsia"/>
          <w:b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2018年财政安排昆明市规划局呈贡分局工作经费</w:t>
      </w:r>
    </w:p>
    <w:p w:rsidR="00DA5AA3" w:rsidRPr="009F1968" w:rsidRDefault="00DA5AA3" w:rsidP="00DA5AA3">
      <w:pPr>
        <w:ind w:firstLineChars="200" w:firstLine="599"/>
        <w:outlineLvl w:val="0"/>
        <w:rPr>
          <w:rFonts w:ascii="仿宋" w:eastAsia="仿宋" w:hAnsi="仿宋" w:hint="eastAsia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 xml:space="preserve">  50万元，主要用于开展日常工作所需人员劳务费、办公费</w:t>
      </w:r>
      <w:r w:rsidRPr="009F1968">
        <w:rPr>
          <w:rFonts w:ascii="仿宋" w:eastAsia="仿宋" w:hAnsi="仿宋" w:hint="eastAsia"/>
          <w:color w:val="000000" w:themeColor="text1"/>
          <w:szCs w:val="32"/>
        </w:rPr>
        <w:lastRenderedPageBreak/>
        <w:t>支出。</w:t>
      </w:r>
    </w:p>
    <w:p w:rsidR="00DA5AA3" w:rsidRPr="009F1968" w:rsidRDefault="00DA5AA3" w:rsidP="00DA5AA3">
      <w:pPr>
        <w:spacing w:line="560" w:lineRule="exact"/>
        <w:ind w:firstLineChars="200" w:firstLine="602"/>
        <w:jc w:val="left"/>
        <w:rPr>
          <w:rFonts w:ascii="仿宋" w:eastAsia="仿宋" w:hAnsi="仿宋" w:hint="eastAsia"/>
          <w:b/>
          <w:color w:val="000000" w:themeColor="text1"/>
          <w:szCs w:val="32"/>
        </w:rPr>
      </w:pPr>
      <w:r w:rsidRPr="009F1968">
        <w:rPr>
          <w:rFonts w:ascii="仿宋" w:eastAsia="仿宋" w:hAnsi="仿宋" w:hint="eastAsia"/>
          <w:b/>
          <w:color w:val="000000" w:themeColor="text1"/>
          <w:szCs w:val="32"/>
        </w:rPr>
        <w:t>2.项目资金使用情况分析</w:t>
      </w:r>
    </w:p>
    <w:p w:rsidR="00DA5AA3" w:rsidRPr="009F1968" w:rsidRDefault="00DA5AA3" w:rsidP="00DA5AA3">
      <w:pPr>
        <w:ind w:firstLineChars="200" w:firstLine="599"/>
        <w:outlineLvl w:val="0"/>
        <w:rPr>
          <w:rFonts w:ascii="仿宋" w:eastAsia="仿宋" w:hAnsi="仿宋" w:hint="eastAsia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截止2018年12月31日，已使用昆明市规划局呈贡分局工作经费21.98万元。</w:t>
      </w:r>
    </w:p>
    <w:p w:rsidR="00DA5AA3" w:rsidRPr="009F1968" w:rsidRDefault="00DA5AA3" w:rsidP="00DA5AA3">
      <w:pPr>
        <w:spacing w:line="560" w:lineRule="exact"/>
        <w:ind w:firstLine="630"/>
        <w:rPr>
          <w:rFonts w:ascii="仿宋" w:eastAsia="仿宋" w:hAnsi="仿宋" w:hint="eastAsia"/>
          <w:b/>
          <w:color w:val="000000" w:themeColor="text1"/>
          <w:szCs w:val="32"/>
        </w:rPr>
      </w:pPr>
      <w:r w:rsidRPr="009F1968">
        <w:rPr>
          <w:rFonts w:ascii="仿宋" w:eastAsia="仿宋" w:hAnsi="仿宋" w:hint="eastAsia"/>
          <w:b/>
          <w:color w:val="000000" w:themeColor="text1"/>
          <w:szCs w:val="32"/>
        </w:rPr>
        <w:t>3.项目资金管理情况分析</w:t>
      </w:r>
    </w:p>
    <w:p w:rsidR="00DA5AA3" w:rsidRPr="009F1968" w:rsidRDefault="00DA5AA3" w:rsidP="00DA5AA3">
      <w:pPr>
        <w:ind w:firstLineChars="250" w:firstLine="749"/>
        <w:rPr>
          <w:color w:val="000000" w:themeColor="text1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有序开展分局日常工作，项目资金使用情况高效节约。</w:t>
      </w:r>
    </w:p>
    <w:p w:rsidR="00DA5AA3" w:rsidRPr="009F1968" w:rsidRDefault="00DD03D0" w:rsidP="00DA5AA3">
      <w:pPr>
        <w:rPr>
          <w:rFonts w:ascii="仿宋" w:eastAsia="仿宋" w:hAnsi="仿宋" w:hint="eastAsia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（二）项目实施情况分析。</w:t>
      </w:r>
    </w:p>
    <w:p w:rsidR="00DA6EDE" w:rsidRPr="009F1968" w:rsidRDefault="00DD03D0" w:rsidP="00DA5AA3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/>
          <w:color w:val="000000" w:themeColor="text1"/>
          <w:szCs w:val="32"/>
        </w:rPr>
        <w:t>1.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项目组织情况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  <w:r w:rsidRPr="009F1968">
        <w:rPr>
          <w:rFonts w:ascii="仿宋" w:eastAsia="仿宋" w:hAnsi="仿宋"/>
          <w:color w:val="000000" w:themeColor="text1"/>
          <w:szCs w:val="32"/>
        </w:rPr>
        <w:t>2.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项目管理情况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4E5D6C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（三）项目绩效情况分析。</w:t>
      </w:r>
    </w:p>
    <w:p w:rsidR="00DA6EDE" w:rsidRPr="009F1968" w:rsidRDefault="00DD03D0" w:rsidP="004E5D6C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/>
          <w:color w:val="000000" w:themeColor="text1"/>
          <w:szCs w:val="32"/>
        </w:rPr>
        <w:t>1.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项目经济性分析。（</w:t>
      </w:r>
      <w:r w:rsidRPr="009F1968">
        <w:rPr>
          <w:rFonts w:ascii="仿宋" w:eastAsia="仿宋" w:hAnsi="仿宋"/>
          <w:color w:val="000000" w:themeColor="text1"/>
          <w:szCs w:val="32"/>
        </w:rPr>
        <w:t>1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）项目成本（预算）控制情况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。（</w:t>
      </w:r>
      <w:r w:rsidRPr="009F1968">
        <w:rPr>
          <w:rFonts w:ascii="仿宋" w:eastAsia="仿宋" w:hAnsi="仿宋"/>
          <w:color w:val="000000" w:themeColor="text1"/>
          <w:szCs w:val="32"/>
        </w:rPr>
        <w:t>2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）项目成本（预算）节约情况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4E5D6C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/>
          <w:color w:val="000000" w:themeColor="text1"/>
          <w:szCs w:val="32"/>
        </w:rPr>
        <w:t>2.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项目的效率性分析。（</w:t>
      </w:r>
      <w:r w:rsidRPr="009F1968">
        <w:rPr>
          <w:rFonts w:ascii="仿宋" w:eastAsia="仿宋" w:hAnsi="仿宋"/>
          <w:color w:val="000000" w:themeColor="text1"/>
          <w:szCs w:val="32"/>
        </w:rPr>
        <w:t>1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）项目的实施进度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顺利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。（</w:t>
      </w:r>
      <w:r w:rsidRPr="009F1968">
        <w:rPr>
          <w:rFonts w:ascii="仿宋" w:eastAsia="仿宋" w:hAnsi="仿宋"/>
          <w:color w:val="000000" w:themeColor="text1"/>
          <w:szCs w:val="32"/>
        </w:rPr>
        <w:t>2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）项目完成质量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高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DA6EDE" w:rsidRPr="009F1968" w:rsidRDefault="00DD03D0" w:rsidP="004E5D6C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/>
          <w:color w:val="000000" w:themeColor="text1"/>
          <w:szCs w:val="32"/>
        </w:rPr>
        <w:t>3.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项目的效益性分析。（</w:t>
      </w:r>
      <w:r w:rsidRPr="009F1968">
        <w:rPr>
          <w:rFonts w:ascii="仿宋" w:eastAsia="仿宋" w:hAnsi="仿宋"/>
          <w:color w:val="000000" w:themeColor="text1"/>
          <w:szCs w:val="32"/>
        </w:rPr>
        <w:t>1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）项目预期目标完成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100%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。（</w:t>
      </w:r>
      <w:r w:rsidRPr="009F1968">
        <w:rPr>
          <w:rFonts w:ascii="仿宋" w:eastAsia="仿宋" w:hAnsi="仿宋"/>
          <w:color w:val="000000" w:themeColor="text1"/>
          <w:szCs w:val="32"/>
        </w:rPr>
        <w:t>2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）项目实施对经济和社会的影响</w:t>
      </w:r>
      <w:r w:rsidR="004E5D6C" w:rsidRPr="009F1968">
        <w:rPr>
          <w:rFonts w:ascii="仿宋" w:eastAsia="仿宋" w:hAnsi="仿宋" w:hint="eastAsia"/>
          <w:color w:val="000000" w:themeColor="text1"/>
          <w:szCs w:val="32"/>
        </w:rPr>
        <w:t>良好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B23FE4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五、综合评价情况及评价结论</w:t>
      </w:r>
    </w:p>
    <w:p w:rsidR="00DA6EDE" w:rsidRPr="009F1968" w:rsidRDefault="004E5D6C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详见</w:t>
      </w:r>
      <w:r w:rsidR="00DD03D0" w:rsidRPr="009F1968">
        <w:rPr>
          <w:rFonts w:ascii="仿宋" w:eastAsia="仿宋" w:hAnsi="仿宋" w:hint="eastAsia"/>
          <w:color w:val="000000" w:themeColor="text1"/>
          <w:szCs w:val="32"/>
        </w:rPr>
        <w:t>附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件：相关评分表</w:t>
      </w:r>
      <w:r w:rsidR="00DD03D0" w:rsidRPr="009F1968">
        <w:rPr>
          <w:rFonts w:ascii="仿宋" w:eastAsia="仿宋" w:hAnsi="仿宋" w:hint="eastAsia"/>
          <w:color w:val="000000" w:themeColor="text1"/>
          <w:szCs w:val="32"/>
        </w:rPr>
        <w:t>。</w:t>
      </w:r>
    </w:p>
    <w:p w:rsidR="004E5D6C" w:rsidRPr="009F1968" w:rsidRDefault="00DD03D0" w:rsidP="00D4605D">
      <w:pPr>
        <w:ind w:firstLineChars="200" w:firstLine="599"/>
        <w:rPr>
          <w:rFonts w:ascii="黑体" w:eastAsia="黑体" w:hAnsi="黑体"/>
          <w:color w:val="000000" w:themeColor="text1"/>
          <w:szCs w:val="32"/>
        </w:rPr>
      </w:pPr>
      <w:r w:rsidRPr="009F1968">
        <w:rPr>
          <w:rFonts w:ascii="黑体" w:eastAsia="黑体" w:hAnsi="黑体" w:hint="eastAsia"/>
          <w:color w:val="000000" w:themeColor="text1"/>
          <w:szCs w:val="32"/>
        </w:rPr>
        <w:t>六、绩效评价结果应用建议</w:t>
      </w:r>
    </w:p>
    <w:p w:rsidR="00DD03D0" w:rsidRPr="009F1968" w:rsidRDefault="004E5D6C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>2019年度及以后</w:t>
      </w:r>
      <w:r w:rsidR="00DD03D0" w:rsidRPr="009F1968">
        <w:rPr>
          <w:rFonts w:ascii="仿宋" w:eastAsia="仿宋" w:hAnsi="仿宋" w:hint="eastAsia"/>
          <w:color w:val="000000" w:themeColor="text1"/>
          <w:szCs w:val="32"/>
        </w:rPr>
        <w:t>以后年度预算安排、评价结果</w:t>
      </w:r>
      <w:r w:rsidRPr="009F1968">
        <w:rPr>
          <w:rFonts w:ascii="仿宋" w:eastAsia="仿宋" w:hAnsi="仿宋" w:hint="eastAsia"/>
          <w:color w:val="000000" w:themeColor="text1"/>
          <w:szCs w:val="32"/>
        </w:rPr>
        <w:t>及时</w:t>
      </w:r>
      <w:r w:rsidR="00DD03D0" w:rsidRPr="009F1968">
        <w:rPr>
          <w:rFonts w:ascii="仿宋" w:eastAsia="仿宋" w:hAnsi="仿宋" w:hint="eastAsia"/>
          <w:color w:val="000000" w:themeColor="text1"/>
          <w:szCs w:val="32"/>
        </w:rPr>
        <w:t>公开。</w:t>
      </w:r>
    </w:p>
    <w:p w:rsidR="00DF7202" w:rsidRPr="009F1968" w:rsidRDefault="00DF7202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</w:p>
    <w:p w:rsidR="00DF7202" w:rsidRPr="009F1968" w:rsidRDefault="00DF7202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 xml:space="preserve">                           昆明市规划局呈贡分局</w:t>
      </w:r>
    </w:p>
    <w:p w:rsidR="00DF7202" w:rsidRPr="009F1968" w:rsidRDefault="00DF7202" w:rsidP="00D4605D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  <w:r w:rsidRPr="009F1968">
        <w:rPr>
          <w:rFonts w:ascii="仿宋" w:eastAsia="仿宋" w:hAnsi="仿宋" w:hint="eastAsia"/>
          <w:color w:val="000000" w:themeColor="text1"/>
          <w:szCs w:val="32"/>
        </w:rPr>
        <w:t xml:space="preserve">                               </w:t>
      </w:r>
      <w:r w:rsidRPr="009F1968">
        <w:rPr>
          <w:rFonts w:ascii="仿宋" w:eastAsia="仿宋" w:hAnsi="仿宋"/>
          <w:color w:val="000000" w:themeColor="text1"/>
          <w:szCs w:val="32"/>
        </w:rPr>
        <w:t>2019年3月29日</w:t>
      </w:r>
    </w:p>
    <w:p w:rsidR="009F1968" w:rsidRPr="009F1968" w:rsidRDefault="009F1968">
      <w:pPr>
        <w:ind w:firstLineChars="200" w:firstLine="599"/>
        <w:rPr>
          <w:rFonts w:ascii="仿宋" w:eastAsia="仿宋" w:hAnsi="仿宋"/>
          <w:color w:val="000000" w:themeColor="text1"/>
          <w:szCs w:val="32"/>
        </w:rPr>
      </w:pPr>
    </w:p>
    <w:sectPr w:rsidR="009F1968" w:rsidRPr="009F1968" w:rsidSect="00DA6EDE">
      <w:footerReference w:type="even" r:id="rId6"/>
      <w:footerReference w:type="default" r:id="rId7"/>
      <w:pgSz w:w="11907" w:h="16840"/>
      <w:pgMar w:top="1757" w:right="1757" w:bottom="1757" w:left="1757" w:header="851" w:footer="1304" w:gutter="0"/>
      <w:cols w:space="720"/>
      <w:docGrid w:type="linesAndChars" w:linePitch="587" w:charSpace="-41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65F" w:rsidRDefault="0006665F">
      <w:r>
        <w:separator/>
      </w:r>
    </w:p>
  </w:endnote>
  <w:endnote w:type="continuationSeparator" w:id="0">
    <w:p w:rsidR="0006665F" w:rsidRDefault="0006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DE" w:rsidRDefault="00DD03D0">
    <w:pPr>
      <w:pStyle w:val="a5"/>
      <w:framePr w:wrap="around" w:vAnchor="text" w:hAnchor="margin" w:xAlign="outside" w:y="1"/>
      <w:ind w:left="335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/>
        <w:sz w:val="28"/>
      </w:rPr>
      <w:t>—</w:t>
    </w:r>
    <w:r w:rsidR="00C8784B"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 w:rsidR="00C8784B">
      <w:rPr>
        <w:rFonts w:ascii="宋体" w:eastAsia="宋体" w:hAnsi="宋体"/>
        <w:sz w:val="28"/>
      </w:rPr>
      <w:fldChar w:fldCharType="separate"/>
    </w:r>
    <w:r w:rsidR="009F1968">
      <w:rPr>
        <w:rStyle w:val="a3"/>
        <w:rFonts w:ascii="宋体" w:eastAsia="宋体" w:hAnsi="宋体"/>
        <w:noProof/>
        <w:sz w:val="28"/>
      </w:rPr>
      <w:t>2</w:t>
    </w:r>
    <w:r w:rsidR="00C8784B">
      <w:rPr>
        <w:rFonts w:ascii="宋体" w:eastAsia="宋体" w:hAnsi="宋体"/>
        <w:sz w:val="28"/>
      </w:rPr>
      <w:fldChar w:fldCharType="end"/>
    </w:r>
    <w:r>
      <w:rPr>
        <w:rStyle w:val="a3"/>
        <w:rFonts w:ascii="宋体" w:eastAsia="宋体" w:hAnsi="宋体"/>
        <w:sz w:val="28"/>
      </w:rPr>
      <w:t>—</w:t>
    </w:r>
  </w:p>
  <w:p w:rsidR="00DA6EDE" w:rsidRDefault="00DA6EDE">
    <w:pPr>
      <w:pStyle w:val="a5"/>
      <w:ind w:left="300" w:right="360" w:firstLine="360"/>
      <w:rPr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DE" w:rsidRDefault="00DD03D0">
    <w:pPr>
      <w:pStyle w:val="a5"/>
      <w:framePr w:wrap="around" w:vAnchor="text" w:hAnchor="margin" w:xAlign="outside" w:y="1"/>
      <w:ind w:right="335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/>
        <w:sz w:val="28"/>
      </w:rPr>
      <w:t>—</w:t>
    </w:r>
    <w:r w:rsidR="00C8784B"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 w:rsidR="00C8784B">
      <w:rPr>
        <w:rFonts w:ascii="宋体" w:eastAsia="宋体" w:hAnsi="宋体"/>
        <w:sz w:val="28"/>
      </w:rPr>
      <w:fldChar w:fldCharType="separate"/>
    </w:r>
    <w:r w:rsidR="009F1968">
      <w:rPr>
        <w:rStyle w:val="a3"/>
        <w:rFonts w:ascii="宋体" w:eastAsia="宋体" w:hAnsi="宋体"/>
        <w:noProof/>
        <w:sz w:val="28"/>
      </w:rPr>
      <w:t>1</w:t>
    </w:r>
    <w:r w:rsidR="00C8784B">
      <w:rPr>
        <w:rFonts w:ascii="宋体" w:eastAsia="宋体" w:hAnsi="宋体"/>
        <w:sz w:val="28"/>
      </w:rPr>
      <w:fldChar w:fldCharType="end"/>
    </w:r>
    <w:r>
      <w:rPr>
        <w:rStyle w:val="a3"/>
        <w:rFonts w:ascii="宋体" w:eastAsia="宋体" w:hAnsi="宋体"/>
        <w:sz w:val="28"/>
      </w:rPr>
      <w:t>—</w:t>
    </w:r>
  </w:p>
  <w:p w:rsidR="00DA6EDE" w:rsidRDefault="00DA6EDE">
    <w:pPr>
      <w:pStyle w:val="a5"/>
      <w:ind w:right="360" w:firstLine="360"/>
      <w:jc w:val="right"/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65F" w:rsidRDefault="0006665F">
      <w:r>
        <w:separator/>
      </w:r>
    </w:p>
  </w:footnote>
  <w:footnote w:type="continuationSeparator" w:id="0">
    <w:p w:rsidR="0006665F" w:rsidRDefault="000666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5"/>
  <w:evenAndOddHeaders/>
  <w:drawingGridHorizontalSpacing w:val="150"/>
  <w:drawingGridVerticalSpacing w:val="587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06665F"/>
    <w:rsid w:val="00172A27"/>
    <w:rsid w:val="0038345C"/>
    <w:rsid w:val="004E5D6C"/>
    <w:rsid w:val="0057566F"/>
    <w:rsid w:val="0085033E"/>
    <w:rsid w:val="009F1968"/>
    <w:rsid w:val="00B23FE4"/>
    <w:rsid w:val="00C8784B"/>
    <w:rsid w:val="00D4605D"/>
    <w:rsid w:val="00DA5AA3"/>
    <w:rsid w:val="00DA6EDE"/>
    <w:rsid w:val="00DD03D0"/>
    <w:rsid w:val="00DD77C2"/>
    <w:rsid w:val="00DF7202"/>
    <w:rsid w:val="00F82AFF"/>
    <w:rsid w:val="00F915A6"/>
    <w:rsid w:val="45E66725"/>
    <w:rsid w:val="511F3696"/>
    <w:rsid w:val="560E420E"/>
    <w:rsid w:val="613E4268"/>
    <w:rsid w:val="6AFB357B"/>
    <w:rsid w:val="6C8F1413"/>
    <w:rsid w:val="7BB6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ED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A6EDE"/>
    <w:rPr>
      <w:rFonts w:cs="Times New Roman"/>
    </w:rPr>
  </w:style>
  <w:style w:type="character" w:styleId="a4">
    <w:name w:val="Hyperlink"/>
    <w:basedOn w:val="a0"/>
    <w:rsid w:val="00DA6EDE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5"/>
    <w:rsid w:val="00DA6EDE"/>
    <w:rPr>
      <w:rFonts w:eastAsia="仿宋_GB2312" w:cs="Times New Roman"/>
      <w:sz w:val="18"/>
      <w:szCs w:val="18"/>
    </w:rPr>
  </w:style>
  <w:style w:type="character" w:customStyle="1" w:styleId="Char0">
    <w:name w:val="正文文本缩进 Char"/>
    <w:basedOn w:val="a0"/>
    <w:link w:val="a6"/>
    <w:rsid w:val="00DA6EDE"/>
    <w:rPr>
      <w:rFonts w:eastAsia="仿宋_GB2312" w:cs="Times New Roman"/>
      <w:sz w:val="20"/>
      <w:szCs w:val="20"/>
    </w:rPr>
  </w:style>
  <w:style w:type="character" w:customStyle="1" w:styleId="Char1">
    <w:name w:val="页眉 Char"/>
    <w:basedOn w:val="a0"/>
    <w:link w:val="a7"/>
    <w:rsid w:val="00DA6EDE"/>
    <w:rPr>
      <w:rFonts w:eastAsia="仿宋_GB2312" w:cs="Times New Roman"/>
      <w:sz w:val="18"/>
      <w:szCs w:val="18"/>
    </w:rPr>
  </w:style>
  <w:style w:type="character" w:customStyle="1" w:styleId="Char2">
    <w:name w:val="日期 Char"/>
    <w:basedOn w:val="a0"/>
    <w:link w:val="a8"/>
    <w:rsid w:val="00DA6EDE"/>
    <w:rPr>
      <w:rFonts w:eastAsia="仿宋_GB2312" w:cs="Times New Roman"/>
      <w:sz w:val="20"/>
      <w:szCs w:val="20"/>
    </w:rPr>
  </w:style>
  <w:style w:type="paragraph" w:styleId="a8">
    <w:name w:val="Date"/>
    <w:basedOn w:val="a"/>
    <w:next w:val="a"/>
    <w:link w:val="Char2"/>
    <w:rsid w:val="00DA6EDE"/>
    <w:pPr>
      <w:ind w:leftChars="2500" w:left="100"/>
    </w:pPr>
    <w:rPr>
      <w:sz w:val="20"/>
    </w:rPr>
  </w:style>
  <w:style w:type="paragraph" w:styleId="a7">
    <w:name w:val="header"/>
    <w:basedOn w:val="a"/>
    <w:link w:val="Char1"/>
    <w:rsid w:val="00DA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link w:val="Char0"/>
    <w:rsid w:val="00DA6EDE"/>
    <w:pPr>
      <w:ind w:firstLineChars="200" w:firstLine="632"/>
    </w:pPr>
    <w:rPr>
      <w:sz w:val="20"/>
    </w:rPr>
  </w:style>
  <w:style w:type="paragraph" w:styleId="a5">
    <w:name w:val="footer"/>
    <w:basedOn w:val="a"/>
    <w:link w:val="Char"/>
    <w:rsid w:val="00DA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">
    <w:name w:val="Char Char Char Char Char Char"/>
    <w:basedOn w:val="a"/>
    <w:rsid w:val="00DA6EDE"/>
    <w:pPr>
      <w:adjustRightInd w:val="0"/>
    </w:pPr>
    <w:rPr>
      <w:rFonts w:ascii="Tahoma" w:eastAsia="宋体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</Words>
  <Characters>637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家用电脑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益财会〔2002〕4号</dc:title>
  <dc:creator>y</dc:creator>
  <cp:lastModifiedBy>Administrator</cp:lastModifiedBy>
  <cp:revision>5</cp:revision>
  <cp:lastPrinted>2017-04-21T07:44:00Z</cp:lastPrinted>
  <dcterms:created xsi:type="dcterms:W3CDTF">2019-03-29T11:37:00Z</dcterms:created>
  <dcterms:modified xsi:type="dcterms:W3CDTF">2019-03-29T11:47:00Z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