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000000" w:themeColor="text1"/>
          <w:kern w:val="2"/>
          <w:sz w:val="44"/>
          <w:szCs w:val="4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2"/>
          <w:sz w:val="44"/>
          <w:szCs w:val="44"/>
          <w:lang w:val="en-US" w:eastAsia="zh-CN" w:bidi="ar"/>
          <w14:textFill>
            <w14:solidFill>
              <w14:schemeClr w14:val="tx1"/>
            </w14:solidFill>
          </w14:textFill>
        </w:rPr>
        <w:t>2017年第二批跨省际大中型水库库区基金</w:t>
      </w:r>
    </w:p>
    <w:p>
      <w:pPr>
        <w:jc w:val="center"/>
        <w:rPr>
          <w:rFonts w:hint="eastAsia" w:asciiTheme="minorEastAsia" w:hAnsiTheme="minorEastAsia" w:eastAsiaTheme="minorEastAsia" w:cstheme="minorEastAsia"/>
          <w:b/>
          <w:bCs/>
          <w:color w:val="000000" w:themeColor="text1"/>
          <w:kern w:val="2"/>
          <w:sz w:val="44"/>
          <w:szCs w:val="44"/>
          <w:lang w:val="en-US"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kern w:val="2"/>
          <w:sz w:val="44"/>
          <w:szCs w:val="44"/>
          <w:lang w:val="en-US" w:eastAsia="zh-CN" w:bidi="ar"/>
          <w14:textFill>
            <w14:solidFill>
              <w14:schemeClr w14:val="tx1"/>
            </w14:solidFill>
          </w14:textFill>
        </w:rPr>
        <w:t>呈贡区松茂水库库区七间街道松茂村委会松茂大村排灌渠建设项目支出绩效报告（自评）</w:t>
      </w:r>
    </w:p>
    <w:p>
      <w:pPr>
        <w:jc w:val="center"/>
        <w:rPr>
          <w:rFonts w:hint="eastAsia" w:asciiTheme="minorEastAsia" w:hAnsiTheme="minorEastAsia" w:eastAsiaTheme="minorEastAsia" w:cstheme="minorEastAsia"/>
          <w:b/>
          <w:bCs/>
          <w:color w:val="000000" w:themeColor="text1"/>
          <w:kern w:val="2"/>
          <w:sz w:val="44"/>
          <w:szCs w:val="44"/>
          <w:lang w:val="en-US" w:eastAsia="zh-CN" w:bidi="ar"/>
          <w14:textFill>
            <w14:solidFill>
              <w14:schemeClr w14:val="tx1"/>
            </w14:solidFill>
          </w14:textFill>
        </w:rPr>
      </w:pPr>
    </w:p>
    <w:p>
      <w:pPr>
        <w:topLinePunct/>
        <w:ind w:firstLine="594" w:firstLineChars="200"/>
        <w:rPr>
          <w:rFonts w:ascii="黑体" w:eastAsia="黑体"/>
          <w:szCs w:val="32"/>
        </w:rPr>
      </w:pPr>
      <w:r>
        <w:rPr>
          <w:rFonts w:hint="eastAsia" w:ascii="黑体" w:eastAsia="黑体"/>
          <w:szCs w:val="32"/>
        </w:rPr>
        <w:t>一、项目基本情况</w:t>
      </w:r>
    </w:p>
    <w:p>
      <w:pPr>
        <w:ind w:firstLine="59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呈贡区松茂水库库区七间街道松茂村委会松茂大村排灌渠建设项目位于昆明市呈贡区七甸街道办松茂居委会松</w:t>
      </w:r>
      <w:bookmarkStart w:id="0" w:name="_GoBack"/>
      <w:bookmarkEnd w:id="0"/>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茂大村,地处山区,距高村委会1公里,距离七甸街11公里。</w:t>
      </w:r>
      <w:r>
        <w:rPr>
          <w:rFonts w:hint="eastAsia" w:ascii="仿宋_GB2312" w:hAnsi="仿宋_GB2312" w:eastAsia="仿宋_GB2312" w:cs="仿宋_GB2312"/>
          <w:sz w:val="32"/>
          <w:szCs w:val="32"/>
        </w:rPr>
        <w:t>本项目建设涉及一条排灌渠道，一座蓄水池，一条输水管道。</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项目静态总投资为100.06万元</w:t>
      </w:r>
      <w:r>
        <w:rPr>
          <w:rFonts w:hint="eastAsia" w:ascii="仿宋_GB2312" w:hAnsi="仿宋_GB2312" w:cs="仿宋_GB2312"/>
          <w:color w:val="000000" w:themeColor="text1"/>
          <w:kern w:val="2"/>
          <w:sz w:val="32"/>
          <w:szCs w:val="32"/>
          <w:lang w:val="en-US" w:eastAsia="zh-CN" w:bidi="ar"/>
          <w14:textFill>
            <w14:solidFill>
              <w14:schemeClr w14:val="tx1"/>
            </w14:solidFill>
          </w14:textFill>
        </w:rPr>
        <w:t>。</w:t>
      </w:r>
    </w:p>
    <w:p>
      <w:pPr>
        <w:ind w:firstLine="594" w:firstLineChars="200"/>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项目绩效目标</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(1)渠道设计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本项目排灌渠道在原址上进行改造，渠道总长1007m，采用C20混凝土浇筑，渠道净空尺寸为0.8X1.0m,边墙厚0.3m,底板的厚度根据基础的情况按0.2m和0.3m进行设计，渠道底部开挖宽1.6m，铺设厚5cm的碎石垫层。开挖边坡坡比为1: 0.5，两边预留0.1m的工作面。</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(2)高位水池设计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本项目在渠道左岸的适合高程新建一个200m”高位水池，高位水池的形式为圆形水池，水池半径4.5m，高3. 85m，采用C25钢筋混凝土浇筑，壁厚0.25m</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该高位水池主要满足在排灌渠左岸的山坡耕地，约200亩。</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(3)输水管道</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本次项目考虑从输水管道分流，将水输送至新建的高位水池。新建输水管道长460m,管材采用DNI50的热镀锌钢管。</w:t>
      </w:r>
    </w:p>
    <w:p>
      <w:pPr>
        <w:keepNext w:val="0"/>
        <w:keepLines w:val="0"/>
        <w:pageBreakBefore w:val="0"/>
        <w:widowControl w:val="0"/>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color w:val="000000" w:themeColor="text1"/>
          <w:kern w:val="2"/>
          <w:sz w:val="32"/>
          <w:szCs w:val="32"/>
          <w:lang w:val="en-US" w:eastAsia="zh-CN" w:bidi="ar"/>
          <w14:textFill>
            <w14:solidFill>
              <w14:schemeClr w14:val="tx1"/>
            </w14:solidFill>
          </w14:textFill>
        </w:rPr>
        <w:t>该项目</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总工期</w:t>
      </w:r>
      <w:r>
        <w:rPr>
          <w:rFonts w:hint="eastAsia" w:ascii="仿宋_GB2312" w:hAnsi="仿宋_GB2312" w:cs="仿宋_GB2312"/>
          <w:color w:val="000000" w:themeColor="text1"/>
          <w:kern w:val="2"/>
          <w:sz w:val="32"/>
          <w:szCs w:val="32"/>
          <w:lang w:val="en-US" w:eastAsia="zh-CN" w:bidi="ar"/>
          <w14:textFill>
            <w14:solidFill>
              <w14:schemeClr w14:val="tx1"/>
            </w14:solidFill>
          </w14:textFill>
        </w:rPr>
        <w:t>计划</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定为</w:t>
      </w:r>
      <w:r>
        <w:rPr>
          <w:rFonts w:hint="eastAsia" w:ascii="仿宋_GB2312" w:hAnsi="仿宋_GB2312" w:cs="仿宋_GB2312"/>
          <w:color w:val="000000" w:themeColor="text1"/>
          <w:kern w:val="2"/>
          <w:sz w:val="32"/>
          <w:szCs w:val="32"/>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个月。</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本资金原为2017年第二批跨省际大中型水库库区基金383.99万元，是中央资金并结转至2018年区级财政资金，其中用于呈贡区松茂水库库区七间街道松茂村委会松茂大村排灌渠建设项目资金100万元。</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color w:val="000000" w:themeColor="text1"/>
          <w:sz w:val="32"/>
          <w:szCs w:val="32"/>
          <w:lang w:val="en-US" w:eastAsia="zh-CN"/>
          <w14:textFill>
            <w14:solidFill>
              <w14:schemeClr w14:val="tx1"/>
            </w14:solidFill>
          </w14:textFill>
        </w:rPr>
        <w:t>项目估算总投资100. 06万元：其中大中型水库移民专项资金100万，不足部分村组自筹解决。其中建筑工程为71.19 万元，金属结构设备及安装工程为11.88万元，独立费用10.88万元，预备费4.70万元，水土保持工程费1.07万元，环境保护费为0.35万元。全部拨转七甸街道办用于项目支付。</w:t>
      </w:r>
      <w:r>
        <w:rPr>
          <w:rFonts w:hint="eastAsia" w:ascii="仿宋_GB2312" w:hAnsi="仿宋_GB2312" w:eastAsia="仿宋_GB2312" w:cs="仿宋_GB2312"/>
          <w:sz w:val="32"/>
          <w:szCs w:val="32"/>
        </w:rPr>
        <w:t>在财政支农资金的使用和管理上，</w:t>
      </w:r>
      <w:r>
        <w:rPr>
          <w:rFonts w:hint="eastAsia" w:ascii="仿宋_GB2312" w:hAnsi="仿宋_GB2312" w:cs="仿宋_GB2312"/>
          <w:sz w:val="32"/>
          <w:szCs w:val="32"/>
          <w:lang w:eastAsia="zh-CN"/>
        </w:rPr>
        <w:t>要求建设单位</w:t>
      </w:r>
      <w:r>
        <w:rPr>
          <w:rFonts w:hint="eastAsia" w:ascii="仿宋_GB2312" w:hAnsi="仿宋_GB2312" w:eastAsia="仿宋_GB2312" w:cs="仿宋_GB2312"/>
          <w:sz w:val="32"/>
          <w:szCs w:val="32"/>
        </w:rPr>
        <w:t>严格遵循审批程序使用资金，坚持按进度和质量拨付。按资金的来源、性质、类别，严格以各类资金的使用</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及规定为依据，专款专用，提高资金的使用效益。</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项目组织实施单位为所在街道，具体实施单位为社区。呈贡区水务局做为业务指导部门，要求实施单位：严格项目实施管理。工程严格执行项目法人制、招投标制、监理制、合同制和项目竣工决算验收制。严格工程质量管理。严格施工监理和质量监督，落实项目质量责任制。严格按照工程建设相关规范进行、满足规范和设计要求。严格项目资金管理。加强项目资金财务管理，严禁擅自改变资金使用范围、对象、严禁截留、挤占和挪用项目资金。加强建后管理。制定项目投入运行的管理制度，使工程良性发展，管好用好。</w:t>
      </w:r>
    </w:p>
    <w:p>
      <w:pPr>
        <w:topLinePunct/>
        <w:ind w:firstLine="59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该项目2018年4月完成竞争性谈判及签订监理合同，5月签订施工合同，6月开始施工建设，8月已完成所有项目内容，9月已完成初步验收。</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ind w:firstLine="594"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2017年第二批跨省际大中型水库库区基金383.9</w:t>
      </w:r>
      <w:r>
        <w:rPr>
          <w:rFonts w:hint="eastAsia" w:ascii="仿宋_GB2312" w:hAnsi="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万元，其中用于呈贡区松茂水库库区七间街道松茂村委会松茂大村排灌渠建设项目资金100万元。使用率100%。</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项目支出为基础水利工程建设，</w:t>
      </w:r>
      <w:r>
        <w:rPr>
          <w:rFonts w:hint="eastAsia" w:ascii="仿宋_GB2312" w:hAnsi="仿宋_GB2312" w:eastAsia="仿宋_GB2312" w:cs="仿宋_GB2312"/>
          <w:color w:val="000000" w:themeColor="text1"/>
          <w:sz w:val="32"/>
          <w:szCs w:val="32"/>
          <w14:textFill>
            <w14:solidFill>
              <w14:schemeClr w14:val="tx1"/>
            </w14:solidFill>
          </w14:textFill>
        </w:rPr>
        <w:t>七甸街道办松茂居委会松茂大村生产生活基础设施落后,项目的建设将有效缓解村内居民饮水问题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本项目建设受益范围涉及七甸街道办松茂居委会松茂大村，受益人口可达417人,其中受益的移民有136人。</w:t>
      </w:r>
      <w:r>
        <w:rPr>
          <w:rFonts w:hint="eastAsia" w:ascii="仿宋_GB2312" w:hAnsi="仿宋_GB2312" w:cs="仿宋_GB2312"/>
          <w:color w:val="000000" w:themeColor="text1"/>
          <w:sz w:val="32"/>
          <w:szCs w:val="32"/>
          <w:lang w:val="en-US" w:eastAsia="zh-CN"/>
          <w14:textFill>
            <w14:solidFill>
              <w14:schemeClr w14:val="tx1"/>
            </w14:solidFill>
          </w14:textFill>
        </w:rPr>
        <w:t>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充分发挥</w:t>
      </w:r>
      <w:r>
        <w:rPr>
          <w:rFonts w:hint="eastAsia" w:ascii="仿宋_GB2312" w:hAnsi="仿宋_GB2312" w:cs="仿宋_GB2312"/>
          <w:color w:val="000000" w:themeColor="text1"/>
          <w:sz w:val="32"/>
          <w:szCs w:val="32"/>
          <w:lang w:val="en-US" w:eastAsia="zh-CN"/>
          <w14:textFill>
            <w14:solidFill>
              <w14:schemeClr w14:val="tx1"/>
            </w14:solidFill>
          </w14:textFill>
        </w:rPr>
        <w:t>基础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水利工程</w:t>
      </w:r>
      <w:r>
        <w:rPr>
          <w:rFonts w:hint="eastAsia" w:ascii="仿宋_GB2312" w:hAnsi="仿宋_GB2312" w:cs="仿宋_GB2312"/>
          <w:color w:val="000000" w:themeColor="text1"/>
          <w:sz w:val="32"/>
          <w:szCs w:val="32"/>
          <w:lang w:val="en-US" w:eastAsia="zh-CN"/>
          <w14:textFill>
            <w14:solidFill>
              <w14:schemeClr w14:val="tx1"/>
            </w14:solidFill>
          </w14:textFill>
        </w:rPr>
        <w:t>设施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的社会效益和供水效益，保证生产生活需水需求。</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eastAsia="仿宋_GB2312"/>
          <w:szCs w:val="32"/>
          <w:lang w:eastAsia="zh-CN"/>
        </w:rPr>
      </w:pPr>
      <w:r>
        <w:rPr>
          <w:rFonts w:hint="eastAsia" w:ascii="仿宋_GB2312"/>
          <w:szCs w:val="32"/>
          <w:lang w:val="en-US" w:eastAsia="zh-CN"/>
        </w:rPr>
        <w:t>无</w:t>
      </w:r>
    </w:p>
    <w:p>
      <w:pPr>
        <w:ind w:firstLine="594" w:firstLineChars="200"/>
        <w:rPr>
          <w:rFonts w:hint="eastAsia" w:asciiTheme="minorEastAsia" w:hAnsiTheme="minorEastAsia"/>
          <w:b/>
          <w:color w:val="000000" w:themeColor="text1"/>
          <w:sz w:val="32"/>
          <w:szCs w:val="32"/>
          <w14:textFill>
            <w14:solidFill>
              <w14:schemeClr w14:val="tx1"/>
            </w14:solidFill>
          </w14:textFill>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D091D"/>
    <w:rsid w:val="05AE36CA"/>
    <w:rsid w:val="0C726CC3"/>
    <w:rsid w:val="15D44B8E"/>
    <w:rsid w:val="1B525347"/>
    <w:rsid w:val="1F2A48D1"/>
    <w:rsid w:val="2E924052"/>
    <w:rsid w:val="2F23299E"/>
    <w:rsid w:val="2F7914E5"/>
    <w:rsid w:val="2FCE700A"/>
    <w:rsid w:val="33745871"/>
    <w:rsid w:val="33DF32B3"/>
    <w:rsid w:val="33FD3831"/>
    <w:rsid w:val="378A5996"/>
    <w:rsid w:val="382A0015"/>
    <w:rsid w:val="40CF5963"/>
    <w:rsid w:val="41E76BBC"/>
    <w:rsid w:val="425B723A"/>
    <w:rsid w:val="47A10825"/>
    <w:rsid w:val="4A8228BB"/>
    <w:rsid w:val="52A60CA9"/>
    <w:rsid w:val="534B6E26"/>
    <w:rsid w:val="54BB4FF7"/>
    <w:rsid w:val="5A3C6978"/>
    <w:rsid w:val="5EC33C20"/>
    <w:rsid w:val="67600811"/>
    <w:rsid w:val="68467A91"/>
    <w:rsid w:val="701A74FA"/>
    <w:rsid w:val="7F6A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ZnAl</cp:lastModifiedBy>
  <dcterms:modified xsi:type="dcterms:W3CDTF">2019-05-10T01:12:10Z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