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jc w:val="center"/>
        <w:rPr>
          <w:rFonts w:ascii="黑体" w:eastAsia="黑体"/>
          <w:szCs w:val="32"/>
        </w:rPr>
      </w:pPr>
      <w:r>
        <w:rPr>
          <w:rFonts w:hint="eastAsia" w:ascii="仿宋_GB2312" w:hAnsi="仿宋_GB2312" w:eastAsia="仿宋_GB2312" w:cs="仿宋_GB2312"/>
          <w:color w:val="000000" w:themeColor="text1"/>
          <w:sz w:val="32"/>
          <w:szCs w:val="32"/>
          <w14:textFill>
            <w14:solidFill>
              <w14:schemeClr w14:val="tx1"/>
            </w14:solidFill>
          </w14:textFill>
        </w:rPr>
        <w:t>2017年第一</w:t>
      </w:r>
      <w:r>
        <w:rPr>
          <w:rFonts w:hint="eastAsia" w:ascii="仿宋_GB2312" w:hAnsi="仿宋_GB2312" w:cs="仿宋_GB2312"/>
          <w:color w:val="000000" w:themeColor="text1"/>
          <w:sz w:val="32"/>
          <w:szCs w:val="32"/>
          <w:lang w:val="en-US" w:eastAsia="zh-CN"/>
          <w14:textFill>
            <w14:solidFill>
              <w14:schemeClr w14:val="tx1"/>
            </w14:solidFill>
          </w14:textFill>
        </w:rPr>
        <w:t>批</w:t>
      </w:r>
      <w:r>
        <w:rPr>
          <w:rFonts w:hint="eastAsia" w:ascii="仿宋_GB2312" w:hAnsi="仿宋_GB2312" w:eastAsia="仿宋_GB2312" w:cs="仿宋_GB2312"/>
          <w:color w:val="000000" w:themeColor="text1"/>
          <w:sz w:val="32"/>
          <w:szCs w:val="32"/>
          <w14:textFill>
            <w14:solidFill>
              <w14:schemeClr w14:val="tx1"/>
            </w14:solidFill>
          </w14:textFill>
        </w:rPr>
        <w:t>跨省际大中型水库库区基金</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呈贡区吴家营街道办刘家营社区蚂蚁冲百亩桃园基地</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灌溉及机耕道路建设工程项目支出绩效报告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ind w:firstLine="594" w:firstLineChars="200"/>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呈贡区吴家营街道办刘家营社区蚂蚁冲百亩桃园基地灌溉及机耕道路建设工程位于刘家营社区，</w:t>
      </w:r>
      <w:r>
        <w:rPr>
          <w:rFonts w:hint="eastAsia" w:ascii="仿宋_GB2312" w:hAnsi="仿宋_GB2312" w:eastAsia="仿宋_GB2312" w:cs="仿宋_GB2312"/>
          <w:sz w:val="32"/>
          <w:szCs w:val="32"/>
          <w:lang w:val="en-US" w:eastAsia="zh-CN"/>
        </w:rPr>
        <w:t>通过项目的实施能有效增加灌区，提高水资源利用率，从根本上解决了蚂蚁冲百亩桃园基地灌区干旱缺水的现状，有效缓解了灌区农灌问题，为灌区进行产业结构调整奠定了基础；移民安置区机耕道路的建设，使移民生产生活更加便利，为提高移民生产生活水平创造条件。</w:t>
      </w:r>
      <w:r>
        <w:rPr>
          <w:rFonts w:hint="eastAsia" w:ascii="仿宋_GB2312" w:hAnsi="仿宋_GB2312" w:eastAsia="仿宋_GB2312" w:cs="仿宋_GB2312"/>
          <w:sz w:val="32"/>
          <w:szCs w:val="32"/>
          <w:lang w:eastAsia="zh-CN"/>
        </w:rPr>
        <w:t>项目工程等别为V等，主、次要建筑物等级均为5级。工程设计灌溉保证率取P=90%。</w:t>
      </w:r>
    </w:p>
    <w:p>
      <w:pPr>
        <w:numPr>
          <w:ilvl w:val="0"/>
          <w:numId w:val="1"/>
        </w:numPr>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color w:val="00B0F0"/>
          <w:sz w:val="32"/>
          <w:szCs w:val="32"/>
          <w:lang w:val="en-US"/>
        </w:rPr>
      </w:pPr>
      <w:r>
        <w:rPr>
          <w:rFonts w:hint="eastAsia" w:ascii="仿宋_GB2312" w:hAnsi="仿宋_GB2312" w:eastAsia="仿宋_GB2312" w:cs="仿宋_GB2312"/>
          <w:sz w:val="32"/>
          <w:szCs w:val="32"/>
        </w:rPr>
        <w:t>新建机耕道路564m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路面采用砂石路面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更换水泵2台，水泵型号为250QJ</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R</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50-120</w:t>
      </w:r>
      <w:r>
        <w:rPr>
          <w:rFonts w:hint="eastAsia" w:ascii="仿宋_GB2312" w:hAnsi="仿宋_GB2312" w:eastAsia="仿宋_GB2312" w:cs="仿宋_GB2312"/>
          <w:sz w:val="32"/>
          <w:szCs w:val="32"/>
          <w:lang w:val="en-US" w:eastAsia="zh-CN"/>
        </w:rPr>
        <w:t>井</w:t>
      </w:r>
      <w:r>
        <w:rPr>
          <w:rFonts w:hint="eastAsia" w:ascii="仿宋_GB2312" w:hAnsi="仿宋_GB2312" w:eastAsia="仿宋_GB2312" w:cs="仿宋_GB2312"/>
          <w:sz w:val="32"/>
          <w:szCs w:val="32"/>
        </w:rPr>
        <w:t>用型潜水泵，新建泵站上水管1162m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管材采用DN125×4. 5mm热镀锌管。新建500m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rPr>
        <w:t>圆形高位水池1座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铺设田间PE管网3628m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其中：铺设PE</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O级de90管273m;铺设PE80级de75管102lm;铺设 PE80级 de50管2334m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工期为3个月</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ind w:firstLine="594" w:firstLineChars="200"/>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本资金原为</w:t>
      </w:r>
      <w:r>
        <w:rPr>
          <w:rFonts w:hint="eastAsia" w:ascii="仿宋_GB2312" w:hAnsi="仿宋_GB2312" w:eastAsia="仿宋_GB2312" w:cs="仿宋_GB2312"/>
          <w:color w:val="000000" w:themeColor="text1"/>
          <w:sz w:val="32"/>
          <w:szCs w:val="32"/>
          <w14:textFill>
            <w14:solidFill>
              <w14:schemeClr w14:val="tx1"/>
            </w14:solidFill>
          </w14:textFill>
        </w:rPr>
        <w:t>2017年第一</w:t>
      </w:r>
      <w:r>
        <w:rPr>
          <w:rFonts w:hint="eastAsia" w:ascii="仿宋_GB2312" w:hAnsi="仿宋_GB2312" w:cs="仿宋_GB2312"/>
          <w:color w:val="000000" w:themeColor="text1"/>
          <w:sz w:val="32"/>
          <w:szCs w:val="32"/>
          <w:lang w:val="en-US" w:eastAsia="zh-CN"/>
          <w14:textFill>
            <w14:solidFill>
              <w14:schemeClr w14:val="tx1"/>
            </w14:solidFill>
          </w14:textFill>
        </w:rPr>
        <w:t>批</w:t>
      </w:r>
      <w:r>
        <w:rPr>
          <w:rFonts w:hint="eastAsia" w:ascii="仿宋_GB2312" w:hAnsi="仿宋_GB2312" w:eastAsia="仿宋_GB2312" w:cs="仿宋_GB2312"/>
          <w:color w:val="000000" w:themeColor="text1"/>
          <w:sz w:val="32"/>
          <w:szCs w:val="32"/>
          <w14:textFill>
            <w14:solidFill>
              <w14:schemeClr w14:val="tx1"/>
            </w14:solidFill>
          </w14:textFill>
        </w:rPr>
        <w:t>跨省际大中型水库库区基金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148万元</w:t>
      </w:r>
      <w:r>
        <w:rPr>
          <w:rFonts w:hint="eastAsia" w:ascii="仿宋_GB2312" w:hAnsi="仿宋_GB2312" w:cs="仿宋_GB2312"/>
          <w:color w:val="000000" w:themeColor="text1"/>
          <w:sz w:val="32"/>
          <w:szCs w:val="32"/>
          <w:lang w:val="en-US" w:eastAsia="zh-CN"/>
          <w14:textFill>
            <w14:solidFill>
              <w14:schemeClr w14:val="tx1"/>
            </w14:solidFill>
          </w14:textFill>
        </w:rPr>
        <w:t>，是中央资金并结转至2018年区级财政资金，继续用于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呈贡区吴家营街道办刘家营社区蚂蚁冲百亩桃园基地灌溉及机耕道路建设工程项目</w:t>
      </w:r>
      <w:r>
        <w:rPr>
          <w:rFonts w:hint="eastAsia" w:ascii="仿宋_GB2312"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b/>
          <w:bCs/>
          <w:lang w:val="en-US" w:eastAsia="zh-CN"/>
        </w:rPr>
      </w:pPr>
      <w:r>
        <w:rPr>
          <w:rFonts w:hint="eastAsia"/>
          <w:lang w:val="en-US" w:eastAsia="zh-CN"/>
        </w:rPr>
        <w:t>项目</w:t>
      </w:r>
      <w:r>
        <w:rPr>
          <w:rFonts w:hint="eastAsia"/>
        </w:rPr>
        <w:t>概算总投资</w:t>
      </w:r>
      <w:r>
        <w:rPr>
          <w:rFonts w:hint="eastAsia"/>
          <w:lang w:val="en-US" w:eastAsia="zh-CN"/>
        </w:rPr>
        <w:t>148万元，</w:t>
      </w:r>
      <w:r>
        <w:rPr>
          <w:rFonts w:hint="eastAsia"/>
        </w:rPr>
        <w:t>其中建筑工程投资77. 57万元，材料设备及安装工程投资38. 22万元；临时工程投资5. 65万元；独立费用投资19. 51万元；预备费</w:t>
      </w:r>
      <w:r>
        <w:rPr>
          <w:rFonts w:hint="eastAsia"/>
          <w:lang w:val="en-US" w:eastAsia="zh-CN"/>
        </w:rPr>
        <w:t>7.</w:t>
      </w:r>
      <w:r>
        <w:rPr>
          <w:rFonts w:hint="eastAsia"/>
        </w:rPr>
        <w:t>05万元</w:t>
      </w:r>
      <w:r>
        <w:rPr>
          <w:rFonts w:hint="eastAsia"/>
          <w:lang w:eastAsia="zh-CN"/>
        </w:rPr>
        <w:t>。</w:t>
      </w:r>
      <w:r>
        <w:rPr>
          <w:rFonts w:hint="eastAsia"/>
          <w:lang w:val="en-US" w:eastAsia="zh-CN"/>
        </w:rPr>
        <w:t>资金全部拨转吴家营街道办用于项目支付，不存在</w:t>
      </w:r>
      <w:r>
        <w:rPr>
          <w:rFonts w:hint="eastAsia" w:ascii="仿宋_GB2312" w:hAnsi="仿宋_GB2312" w:eastAsia="仿宋_GB2312" w:cs="仿宋_GB2312"/>
          <w:sz w:val="32"/>
          <w:szCs w:val="32"/>
          <w:lang w:val="en-US" w:eastAsia="zh-CN"/>
        </w:rPr>
        <w:t>滞留、侵占挪用和套取资金等问题。</w:t>
      </w:r>
      <w:r>
        <w:rPr>
          <w:rFonts w:hint="eastAsia" w:ascii="仿宋_GB2312" w:hAnsi="仿宋_GB2312" w:eastAsia="仿宋_GB2312" w:cs="仿宋_GB2312"/>
          <w:sz w:val="32"/>
          <w:szCs w:val="32"/>
        </w:rPr>
        <w:t>按资金的来源、性质、类别，严格以各类资金的使用</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及规定为依据，专款专用，提高资金的使用效益。</w:t>
      </w:r>
      <w:r>
        <w:rPr>
          <w:rFonts w:hint="eastAsia" w:ascii="仿宋_GB2312" w:hAnsi="仿宋_GB2312" w:cs="仿宋_GB2312"/>
          <w:sz w:val="32"/>
          <w:szCs w:val="32"/>
          <w:lang w:eastAsia="zh-CN"/>
        </w:rPr>
        <w:t>建设单位</w:t>
      </w:r>
      <w:r>
        <w:rPr>
          <w:rFonts w:hint="eastAsia" w:ascii="仿宋_GB2312" w:hAnsi="仿宋_GB2312" w:eastAsia="仿宋_GB2312" w:cs="仿宋_GB2312"/>
          <w:sz w:val="32"/>
          <w:szCs w:val="32"/>
        </w:rPr>
        <w:t>严格遵循审批程序使用资金，坚持按进度和质量拨付。</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numPr>
          <w:ilvl w:val="0"/>
          <w:numId w:val="0"/>
        </w:numPr>
        <w:ind w:firstLine="594" w:firstLineChars="200"/>
        <w:rPr>
          <w:rFonts w:hint="eastAsia" w:ascii="仿宋_GB2312" w:hAnsi="仿宋_GB2312" w:eastAsia="仿宋_GB2312" w:cs="仿宋_GB2312"/>
          <w:sz w:val="32"/>
          <w:szCs w:val="32"/>
          <w:lang w:val="en-US" w:eastAsia="zh-CN"/>
        </w:rPr>
      </w:pPr>
      <w:bookmarkStart w:id="0" w:name="_GoBack"/>
      <w:r>
        <w:rPr>
          <w:rFonts w:hint="eastAsia" w:ascii="仿宋_GB2312" w:hAnsi="仿宋_GB2312" w:cs="仿宋_GB2312"/>
          <w:sz w:val="32"/>
          <w:szCs w:val="32"/>
          <w:lang w:val="en-US" w:eastAsia="zh-CN"/>
        </w:rPr>
        <w:t>项目组织实施单位为所在街道，具体实施单位为社区。呈贡区水务局做为业务指导部门，要求实施单位：</w:t>
      </w:r>
      <w:r>
        <w:rPr>
          <w:rFonts w:hint="eastAsia" w:ascii="仿宋_GB2312" w:hAnsi="仿宋_GB2312" w:eastAsia="仿宋_GB2312" w:cs="仿宋_GB2312"/>
          <w:sz w:val="32"/>
          <w:szCs w:val="32"/>
          <w:lang w:val="en-US" w:eastAsia="zh-CN"/>
        </w:rPr>
        <w:t>严格项目实施管理。工程严格执行项目法人制、招投标制、监理制、合同制和项目竣工决算验收制。严格工程质量管理。严格施工监理和质量监督，落实项目质量责任制。严格按照工程建设相关规</w:t>
      </w:r>
      <w:bookmarkEnd w:id="0"/>
      <w:r>
        <w:rPr>
          <w:rFonts w:hint="eastAsia" w:ascii="仿宋_GB2312" w:hAnsi="仿宋_GB2312" w:eastAsia="仿宋_GB2312" w:cs="仿宋_GB2312"/>
          <w:sz w:val="32"/>
          <w:szCs w:val="32"/>
          <w:lang w:val="en-US" w:eastAsia="zh-CN"/>
        </w:rPr>
        <w:t>范进行、满足规范和设计要求。严格项目资金管理。加强项目资金财务管理，严禁擅自改变资金使用范围、对象、严禁截留、挤占和挪用项目资金。加强建后管理。制定项目投入运行的管理制度，使工程良性发展，管好用好。</w:t>
      </w:r>
    </w:p>
    <w:p>
      <w:pPr>
        <w:topLinePunct/>
        <w:ind w:firstLine="594"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该项目于2018年4月16日公开招标，4月26日中标，7月9日签订施工合同，7月11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日开始施工。9月已完成所有项目内容，目前已完成初步验收。</w:t>
      </w:r>
    </w:p>
    <w:p>
      <w:pPr>
        <w:numPr>
          <w:ilvl w:val="0"/>
          <w:numId w:val="2"/>
        </w:numPr>
        <w:topLinePunct/>
        <w:ind w:firstLine="594" w:firstLineChars="200"/>
        <w:rPr>
          <w:rFonts w:hint="eastAsia" w:ascii="黑体" w:eastAsia="黑体"/>
          <w:szCs w:val="32"/>
        </w:rPr>
      </w:pPr>
      <w:r>
        <w:rPr>
          <w:rFonts w:hint="eastAsia" w:ascii="黑体" w:eastAsia="黑体"/>
          <w:szCs w:val="32"/>
        </w:rPr>
        <w:t>项目绩效情况</w:t>
      </w:r>
    </w:p>
    <w:p>
      <w:pPr>
        <w:topLinePunct/>
        <w:ind w:firstLine="594" w:firstLineChars="200"/>
        <w:rPr>
          <w:rFonts w:hint="eastAsia" w:ascii="黑体" w:eastAsia="黑体"/>
          <w:szCs w:val="32"/>
          <w:lang w:eastAsia="zh-CN"/>
        </w:rPr>
      </w:pPr>
      <w:r>
        <w:rPr>
          <w:rFonts w:hint="eastAsia"/>
          <w:lang w:eastAsia="zh-CN"/>
        </w:rPr>
        <w:t>通过项目的实施能有效增加灌区，提高水资源利用率，从根本上解决了蚂蚁冲百亩桃园基地灌区干旱缺水的现状，有效缓解了灌区农灌问题，为灌区进行产业结构调整奠定了基础；移民安置区机耕道路的建设，使移民生产生活更加便利，为提高移民生产生活水平创造条件。受益农户165户，本项目直接受益人口 457人，受益农村移民527人，建档立卡贫困移民0人。</w:t>
      </w:r>
      <w:r>
        <w:rPr>
          <w:rFonts w:hint="eastAsia"/>
          <w:lang w:val="en-US" w:eastAsia="zh-CN"/>
        </w:rPr>
        <w:t>充分发挥基础水利工程设施的社会效益和供水效益。</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无</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3F1D"/>
    <w:multiLevelType w:val="singleLevel"/>
    <w:tmpl w:val="01113F1D"/>
    <w:lvl w:ilvl="0" w:tentative="0">
      <w:start w:val="4"/>
      <w:numFmt w:val="chineseCounting"/>
      <w:suff w:val="nothing"/>
      <w:lvlText w:val="%1、"/>
      <w:lvlJc w:val="left"/>
      <w:rPr>
        <w:rFonts w:hint="eastAsia"/>
      </w:rPr>
    </w:lvl>
  </w:abstractNum>
  <w:abstractNum w:abstractNumId="1">
    <w:nsid w:val="7DEA8D3F"/>
    <w:multiLevelType w:val="singleLevel"/>
    <w:tmpl w:val="7DEA8D3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723B"/>
    <w:rsid w:val="041E47C6"/>
    <w:rsid w:val="05AE36CA"/>
    <w:rsid w:val="06111392"/>
    <w:rsid w:val="0C4D1ACB"/>
    <w:rsid w:val="0FA74DF8"/>
    <w:rsid w:val="16311221"/>
    <w:rsid w:val="1675227C"/>
    <w:rsid w:val="16A535B3"/>
    <w:rsid w:val="1A581F72"/>
    <w:rsid w:val="242500EF"/>
    <w:rsid w:val="263F18D4"/>
    <w:rsid w:val="35644EA0"/>
    <w:rsid w:val="37743F8B"/>
    <w:rsid w:val="378A5996"/>
    <w:rsid w:val="39E16FC2"/>
    <w:rsid w:val="3EB926A6"/>
    <w:rsid w:val="4C140E3B"/>
    <w:rsid w:val="4DFF7DE1"/>
    <w:rsid w:val="57F453CC"/>
    <w:rsid w:val="5A3C6978"/>
    <w:rsid w:val="5AED337D"/>
    <w:rsid w:val="5B431AC9"/>
    <w:rsid w:val="5D5D51EF"/>
    <w:rsid w:val="60CF4349"/>
    <w:rsid w:val="67600811"/>
    <w:rsid w:val="676E0059"/>
    <w:rsid w:val="68763FAB"/>
    <w:rsid w:val="69CC2CF0"/>
    <w:rsid w:val="6A070B7E"/>
    <w:rsid w:val="74235E1D"/>
    <w:rsid w:val="76A76C8E"/>
    <w:rsid w:val="79CE420F"/>
    <w:rsid w:val="7BCE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ZnAl</cp:lastModifiedBy>
  <dcterms:modified xsi:type="dcterms:W3CDTF">2019-05-10T01:52:47Z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