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 xml:space="preserve">昆明市呈贡区防震减灾局  </w:t>
      </w:r>
    </w:p>
    <w:p>
      <w:pPr>
        <w:jc w:val="center"/>
        <w:rPr>
          <w:rFonts w:ascii="方正小标宋简体" w:eastAsia="方正小标宋简体"/>
          <w:sz w:val="36"/>
          <w:szCs w:val="36"/>
        </w:rPr>
      </w:pPr>
      <w:r>
        <w:rPr>
          <w:rFonts w:hint="eastAsia" w:ascii="方正小标宋简体" w:hAnsi="方正小标宋简体" w:eastAsia="方正小标宋简体" w:cs="方正小标宋简体"/>
          <w:sz w:val="36"/>
          <w:szCs w:val="36"/>
        </w:rPr>
        <w:t>2019年预算公开</w:t>
      </w:r>
    </w:p>
    <w:p>
      <w:pPr>
        <w:jc w:val="center"/>
        <w:rPr>
          <w:rFonts w:ascii="方正小标宋简体" w:eastAsia="方正小标宋简体"/>
          <w:sz w:val="36"/>
          <w:szCs w:val="36"/>
        </w:rPr>
      </w:pPr>
      <w:r>
        <w:rPr>
          <w:rFonts w:hint="eastAsia" w:ascii="方正小标宋简体" w:eastAsia="方正小标宋简体"/>
          <w:sz w:val="36"/>
          <w:szCs w:val="36"/>
        </w:rPr>
        <w:t>目录</w:t>
      </w:r>
    </w:p>
    <w:p>
      <w:pPr>
        <w:jc w:val="left"/>
        <w:rPr>
          <w:rFonts w:eastAsia="仿宋_GB2312"/>
          <w:sz w:val="30"/>
          <w:szCs w:val="30"/>
        </w:rPr>
      </w:pPr>
      <w:r>
        <w:rPr>
          <w:rFonts w:hint="eastAsia" w:eastAsia="仿宋_GB2312"/>
          <w:sz w:val="30"/>
          <w:szCs w:val="30"/>
        </w:rPr>
        <w:t xml:space="preserve">第一部分昆明市呈贡区防震减灾局  </w:t>
      </w:r>
    </w:p>
    <w:p>
      <w:pPr>
        <w:ind w:firstLine="1200" w:firstLineChars="400"/>
        <w:jc w:val="left"/>
        <w:rPr>
          <w:rFonts w:eastAsia="仿宋_GB2312"/>
          <w:sz w:val="30"/>
          <w:szCs w:val="30"/>
        </w:rPr>
      </w:pPr>
      <w:r>
        <w:rPr>
          <w:rFonts w:eastAsia="仿宋_GB2312"/>
          <w:sz w:val="30"/>
          <w:szCs w:val="30"/>
        </w:rPr>
        <w:t>2019</w:t>
      </w:r>
      <w:r>
        <w:rPr>
          <w:rFonts w:hint="eastAsia" w:eastAsia="仿宋_GB2312"/>
          <w:sz w:val="30"/>
          <w:szCs w:val="30"/>
        </w:rPr>
        <w:t>年部门预算编制说明</w:t>
      </w:r>
    </w:p>
    <w:p>
      <w:pPr>
        <w:jc w:val="left"/>
        <w:rPr>
          <w:rFonts w:eastAsia="仿宋_GB2312"/>
          <w:sz w:val="30"/>
          <w:szCs w:val="30"/>
        </w:rPr>
      </w:pPr>
      <w:r>
        <w:rPr>
          <w:rFonts w:hint="eastAsia" w:eastAsia="仿宋_GB2312"/>
          <w:sz w:val="30"/>
          <w:szCs w:val="30"/>
        </w:rPr>
        <w:t xml:space="preserve">第二部分昆明市呈贡区防震减灾局  </w:t>
      </w:r>
    </w:p>
    <w:p>
      <w:pPr>
        <w:ind w:firstLine="1200" w:firstLineChars="400"/>
        <w:jc w:val="left"/>
        <w:rPr>
          <w:rFonts w:eastAsia="仿宋_GB2312"/>
          <w:sz w:val="30"/>
          <w:szCs w:val="30"/>
        </w:rPr>
      </w:pPr>
      <w:r>
        <w:rPr>
          <w:rFonts w:eastAsia="仿宋_GB2312"/>
          <w:sz w:val="30"/>
          <w:szCs w:val="30"/>
        </w:rPr>
        <w:t>2019</w:t>
      </w:r>
      <w:r>
        <w:rPr>
          <w:rFonts w:hint="eastAsia" w:eastAsia="仿宋_GB2312"/>
          <w:sz w:val="30"/>
          <w:szCs w:val="30"/>
        </w:rPr>
        <w:t>年部门预算表</w:t>
      </w:r>
    </w:p>
    <w:p>
      <w:pPr>
        <w:jc w:val="left"/>
        <w:rPr>
          <w:rFonts w:eastAsia="仿宋_GB2312"/>
          <w:sz w:val="30"/>
          <w:szCs w:val="30"/>
        </w:rPr>
      </w:pPr>
      <w:r>
        <w:rPr>
          <w:rFonts w:hint="eastAsia" w:eastAsia="仿宋_GB2312"/>
          <w:sz w:val="30"/>
          <w:szCs w:val="30"/>
        </w:rPr>
        <w:t>一、部门收支总表</w:t>
      </w:r>
    </w:p>
    <w:p>
      <w:pPr>
        <w:jc w:val="left"/>
        <w:rPr>
          <w:rFonts w:eastAsia="仿宋_GB2312"/>
          <w:sz w:val="30"/>
          <w:szCs w:val="30"/>
        </w:rPr>
      </w:pPr>
      <w:r>
        <w:rPr>
          <w:rFonts w:hint="eastAsia" w:eastAsia="仿宋_GB2312"/>
          <w:sz w:val="30"/>
          <w:szCs w:val="30"/>
        </w:rPr>
        <w:t>二、部门收入总表</w:t>
      </w:r>
    </w:p>
    <w:p>
      <w:pPr>
        <w:jc w:val="left"/>
        <w:rPr>
          <w:rFonts w:eastAsia="仿宋_GB2312"/>
          <w:sz w:val="30"/>
          <w:szCs w:val="30"/>
        </w:rPr>
      </w:pPr>
      <w:r>
        <w:rPr>
          <w:rFonts w:hint="eastAsia" w:eastAsia="仿宋_GB2312"/>
          <w:sz w:val="30"/>
          <w:szCs w:val="30"/>
        </w:rPr>
        <w:t>三、部门支出总表</w:t>
      </w:r>
    </w:p>
    <w:p>
      <w:pPr>
        <w:jc w:val="left"/>
        <w:rPr>
          <w:rFonts w:eastAsia="仿宋_GB2312"/>
          <w:sz w:val="30"/>
          <w:szCs w:val="30"/>
        </w:rPr>
      </w:pPr>
      <w:r>
        <w:rPr>
          <w:rFonts w:hint="eastAsia" w:eastAsia="仿宋_GB2312"/>
          <w:sz w:val="30"/>
          <w:szCs w:val="30"/>
        </w:rPr>
        <w:t>四、财政拨款收支预算总表</w:t>
      </w:r>
    </w:p>
    <w:p>
      <w:pPr>
        <w:jc w:val="left"/>
        <w:rPr>
          <w:rFonts w:eastAsia="仿宋_GB2312"/>
          <w:sz w:val="30"/>
          <w:szCs w:val="30"/>
        </w:rPr>
      </w:pPr>
      <w:r>
        <w:rPr>
          <w:rFonts w:hint="eastAsia" w:eastAsia="仿宋_GB2312"/>
          <w:sz w:val="30"/>
          <w:szCs w:val="30"/>
        </w:rPr>
        <w:t>五、一般公共预算支出表</w:t>
      </w:r>
    </w:p>
    <w:p>
      <w:pPr>
        <w:jc w:val="left"/>
        <w:rPr>
          <w:rFonts w:eastAsia="仿宋_GB2312"/>
          <w:sz w:val="30"/>
          <w:szCs w:val="30"/>
        </w:rPr>
      </w:pPr>
      <w:r>
        <w:rPr>
          <w:rFonts w:hint="eastAsia" w:eastAsia="仿宋_GB2312"/>
          <w:sz w:val="30"/>
          <w:szCs w:val="30"/>
        </w:rPr>
        <w:t>六、基本支出预算表</w:t>
      </w:r>
    </w:p>
    <w:p>
      <w:pPr>
        <w:jc w:val="left"/>
        <w:rPr>
          <w:rFonts w:eastAsia="仿宋_GB2312"/>
          <w:sz w:val="30"/>
          <w:szCs w:val="30"/>
        </w:rPr>
      </w:pPr>
      <w:r>
        <w:rPr>
          <w:rFonts w:hint="eastAsia" w:eastAsia="仿宋_GB2312"/>
          <w:sz w:val="30"/>
          <w:szCs w:val="30"/>
        </w:rPr>
        <w:t>七、基金预算支出情况表</w:t>
      </w:r>
    </w:p>
    <w:p>
      <w:pPr>
        <w:jc w:val="left"/>
        <w:rPr>
          <w:rFonts w:eastAsia="仿宋_GB2312"/>
          <w:sz w:val="30"/>
          <w:szCs w:val="30"/>
        </w:rPr>
      </w:pPr>
      <w:r>
        <w:rPr>
          <w:rFonts w:hint="eastAsia" w:eastAsia="仿宋_GB2312"/>
          <w:sz w:val="30"/>
          <w:szCs w:val="30"/>
        </w:rPr>
        <w:t>八、财政拨款支出明细表（按经济分类科目）</w:t>
      </w:r>
    </w:p>
    <w:p>
      <w:pPr>
        <w:jc w:val="left"/>
        <w:rPr>
          <w:rFonts w:eastAsia="仿宋_GB2312"/>
          <w:sz w:val="30"/>
          <w:szCs w:val="30"/>
        </w:rPr>
      </w:pPr>
      <w:r>
        <w:rPr>
          <w:rFonts w:hint="eastAsia" w:eastAsia="仿宋_GB2312"/>
          <w:sz w:val="30"/>
          <w:szCs w:val="30"/>
        </w:rPr>
        <w:t>九、“三公”经费公共预算财政拨款支出情况表</w:t>
      </w:r>
    </w:p>
    <w:p>
      <w:pPr>
        <w:jc w:val="left"/>
        <w:rPr>
          <w:rFonts w:eastAsia="仿宋_GB2312"/>
          <w:sz w:val="30"/>
          <w:szCs w:val="30"/>
        </w:rPr>
      </w:pPr>
      <w:r>
        <w:rPr>
          <w:rFonts w:hint="eastAsia" w:eastAsia="仿宋_GB2312"/>
          <w:sz w:val="30"/>
          <w:szCs w:val="30"/>
        </w:rPr>
        <w:t>十、</w:t>
      </w:r>
      <w:r>
        <w:rPr>
          <w:rFonts w:eastAsia="仿宋_GB2312"/>
          <w:sz w:val="30"/>
          <w:szCs w:val="30"/>
        </w:rPr>
        <w:t xml:space="preserve"> </w:t>
      </w:r>
      <w:r>
        <w:rPr>
          <w:rFonts w:hint="eastAsia" w:eastAsia="仿宋_GB2312"/>
          <w:sz w:val="30"/>
          <w:szCs w:val="30"/>
        </w:rPr>
        <w:t>部门项目支出绩效目标表</w:t>
      </w:r>
    </w:p>
    <w:p>
      <w:pPr>
        <w:jc w:val="left"/>
        <w:rPr>
          <w:rFonts w:eastAsia="仿宋_GB2312"/>
          <w:sz w:val="30"/>
          <w:szCs w:val="30"/>
        </w:rPr>
      </w:pPr>
      <w:r>
        <w:rPr>
          <w:rFonts w:hint="eastAsia" w:eastAsia="仿宋_GB2312"/>
          <w:sz w:val="30"/>
          <w:szCs w:val="30"/>
        </w:rPr>
        <w:t>十一、部门整体支出绩效目标表</w:t>
      </w:r>
    </w:p>
    <w:p>
      <w:pPr>
        <w:jc w:val="left"/>
        <w:rPr>
          <w:rFonts w:eastAsia="仿宋_GB2312"/>
          <w:sz w:val="30"/>
          <w:szCs w:val="30"/>
        </w:rPr>
      </w:pPr>
      <w:r>
        <w:rPr>
          <w:rFonts w:hint="eastAsia" w:eastAsia="仿宋_GB2312"/>
          <w:sz w:val="30"/>
          <w:szCs w:val="30"/>
        </w:rPr>
        <w:t>十二、市对下绩效目标表</w:t>
      </w:r>
    </w:p>
    <w:p>
      <w:pPr>
        <w:jc w:val="left"/>
        <w:rPr>
          <w:rFonts w:eastAsia="仿宋_GB2312"/>
          <w:sz w:val="30"/>
          <w:szCs w:val="30"/>
        </w:rPr>
      </w:pPr>
      <w:r>
        <w:rPr>
          <w:rFonts w:hint="eastAsia" w:eastAsia="仿宋_GB2312"/>
          <w:sz w:val="30"/>
          <w:szCs w:val="30"/>
        </w:rPr>
        <w:t>十三、市本级绩效目标表</w:t>
      </w:r>
    </w:p>
    <w:p>
      <w:pPr>
        <w:jc w:val="left"/>
        <w:rPr>
          <w:rFonts w:eastAsia="仿宋_GB2312"/>
          <w:sz w:val="30"/>
          <w:szCs w:val="30"/>
        </w:rPr>
      </w:pPr>
      <w:r>
        <w:rPr>
          <w:rFonts w:hint="eastAsia" w:eastAsia="仿宋_GB2312"/>
          <w:sz w:val="30"/>
          <w:szCs w:val="30"/>
        </w:rPr>
        <w:t>十四、政府采购表</w:t>
      </w:r>
    </w:p>
    <w:p>
      <w:pPr>
        <w:jc w:val="left"/>
        <w:rPr>
          <w:rFonts w:eastAsia="仿宋_GB2312"/>
          <w:sz w:val="30"/>
          <w:szCs w:val="30"/>
        </w:rPr>
      </w:pPr>
      <w:r>
        <w:rPr>
          <w:rFonts w:hint="eastAsia" w:eastAsia="仿宋_GB2312"/>
          <w:sz w:val="30"/>
          <w:szCs w:val="30"/>
        </w:rPr>
        <w:t>十五、部门基本信息表</w:t>
      </w:r>
    </w:p>
    <w:p>
      <w:pPr>
        <w:jc w:val="left"/>
        <w:rPr>
          <w:rFonts w:ascii="方正小标宋简体" w:eastAsia="方正小标宋简体"/>
          <w:kern w:val="0"/>
          <w:sz w:val="36"/>
          <w:szCs w:val="36"/>
        </w:rPr>
      </w:pPr>
      <w:r>
        <w:rPr>
          <w:rFonts w:hint="eastAsia" w:eastAsia="仿宋_GB2312"/>
          <w:sz w:val="30"/>
          <w:szCs w:val="30"/>
        </w:rPr>
        <w:t>十六、行政事业单位资产情况表</w:t>
      </w:r>
    </w:p>
    <w:p>
      <w:pPr>
        <w:widowControl/>
        <w:jc w:val="center"/>
        <w:rPr>
          <w:rFonts w:eastAsia="仿宋_GB2312"/>
          <w:sz w:val="30"/>
          <w:szCs w:val="30"/>
        </w:rPr>
      </w:pPr>
      <w:r>
        <w:rPr>
          <w:rFonts w:hint="eastAsia" w:ascii="方正小标宋简体" w:eastAsia="方正小标宋简体"/>
          <w:kern w:val="0"/>
          <w:sz w:val="36"/>
          <w:szCs w:val="36"/>
        </w:rPr>
        <w:t xml:space="preserve">  昆明市呈贡区防震减灾局</w:t>
      </w:r>
      <w:r>
        <w:rPr>
          <w:rFonts w:hint="eastAsia" w:eastAsia="仿宋_GB2312"/>
          <w:sz w:val="30"/>
          <w:szCs w:val="30"/>
        </w:rPr>
        <w:t xml:space="preserve">  </w:t>
      </w:r>
    </w:p>
    <w:p>
      <w:pPr>
        <w:widowControl/>
        <w:jc w:val="center"/>
        <w:rPr>
          <w:rFonts w:ascii="方正小标宋简体" w:eastAsia="方正小标宋简体"/>
          <w:kern w:val="0"/>
          <w:sz w:val="36"/>
          <w:szCs w:val="36"/>
        </w:rPr>
      </w:pPr>
      <w:r>
        <w:rPr>
          <w:rFonts w:hint="eastAsia" w:ascii="方正小标宋简体" w:eastAsia="方正小标宋简体"/>
          <w:kern w:val="0"/>
          <w:sz w:val="36"/>
          <w:szCs w:val="36"/>
        </w:rPr>
        <w:t xml:space="preserve">  </w:t>
      </w:r>
      <w:r>
        <w:rPr>
          <w:rFonts w:ascii="方正小标宋简体" w:eastAsia="方正小标宋简体"/>
          <w:kern w:val="0"/>
          <w:sz w:val="36"/>
          <w:szCs w:val="36"/>
        </w:rPr>
        <w:t>2019</w:t>
      </w:r>
      <w:r>
        <w:rPr>
          <w:rFonts w:hint="eastAsia" w:ascii="方正小标宋简体" w:eastAsia="方正小标宋简体"/>
          <w:kern w:val="0"/>
          <w:sz w:val="36"/>
          <w:szCs w:val="36"/>
        </w:rPr>
        <w:t>年部门预算编制说明</w:t>
      </w:r>
    </w:p>
    <w:p>
      <w:pPr>
        <w:widowControl/>
        <w:jc w:val="left"/>
        <w:rPr>
          <w:rFonts w:ascii="黑体" w:hAnsi="黑体" w:eastAsia="黑体"/>
          <w:kern w:val="0"/>
          <w:sz w:val="30"/>
          <w:szCs w:val="30"/>
        </w:rPr>
      </w:pPr>
    </w:p>
    <w:p>
      <w:pPr>
        <w:widowControl/>
        <w:ind w:firstLine="450" w:firstLineChars="150"/>
        <w:jc w:val="left"/>
        <w:rPr>
          <w:rFonts w:ascii="黑体" w:hAnsi="黑体" w:eastAsia="黑体"/>
          <w:kern w:val="0"/>
          <w:sz w:val="30"/>
          <w:szCs w:val="30"/>
        </w:rPr>
      </w:pPr>
      <w:r>
        <w:rPr>
          <w:rFonts w:hint="eastAsia" w:ascii="黑体" w:hAnsi="黑体" w:eastAsia="黑体"/>
          <w:kern w:val="0"/>
          <w:sz w:val="30"/>
          <w:szCs w:val="30"/>
        </w:rPr>
        <w:t>一、基本职能及主要工作</w:t>
      </w:r>
    </w:p>
    <w:p>
      <w:pPr>
        <w:widowControl/>
        <w:ind w:firstLine="300" w:firstLineChars="100"/>
        <w:jc w:val="left"/>
        <w:rPr>
          <w:rFonts w:ascii="楷体_GB2312" w:eastAsia="楷体_GB2312"/>
          <w:b/>
          <w:kern w:val="0"/>
          <w:sz w:val="30"/>
          <w:szCs w:val="30"/>
        </w:rPr>
      </w:pPr>
      <w:r>
        <w:rPr>
          <w:rFonts w:hint="eastAsia" w:ascii="楷体_GB2312" w:eastAsia="楷体_GB2312"/>
          <w:kern w:val="0"/>
          <w:sz w:val="30"/>
          <w:szCs w:val="30"/>
        </w:rPr>
        <w:t>（一）部门主要职责</w:t>
      </w:r>
    </w:p>
    <w:p>
      <w:pPr>
        <w:spacing w:line="600" w:lineRule="exact"/>
        <w:ind w:firstLine="600" w:firstLineChars="200"/>
        <w:rPr>
          <w:rFonts w:eastAsia="仿宋_GB2312"/>
          <w:kern w:val="0"/>
          <w:sz w:val="30"/>
          <w:szCs w:val="30"/>
        </w:rPr>
      </w:pPr>
      <w:r>
        <w:rPr>
          <w:rFonts w:hint="eastAsia" w:eastAsia="仿宋_GB2312"/>
          <w:kern w:val="0"/>
          <w:sz w:val="30"/>
          <w:szCs w:val="30"/>
        </w:rPr>
        <w:t>1.贯彻执行国家、省、市有关防震减灾的法律、法规、规章，监督、检查、协调呈贡区行政区域内的防震减灾工作。</w:t>
      </w:r>
    </w:p>
    <w:p>
      <w:pPr>
        <w:spacing w:line="600" w:lineRule="exact"/>
        <w:ind w:firstLine="600" w:firstLineChars="200"/>
        <w:rPr>
          <w:rFonts w:eastAsia="仿宋_GB2312"/>
          <w:kern w:val="0"/>
          <w:sz w:val="30"/>
          <w:szCs w:val="30"/>
        </w:rPr>
      </w:pPr>
      <w:r>
        <w:rPr>
          <w:rFonts w:hint="eastAsia" w:eastAsia="仿宋_GB2312"/>
          <w:kern w:val="0"/>
          <w:sz w:val="30"/>
          <w:szCs w:val="30"/>
        </w:rPr>
        <w:t xml:space="preserve">2.承担昆明市呈贡区抗震救灾指挥部办公室日常事务；承办区抗震救灾指挥部领导小组对各成员单位和各工作组的协调指导工作；参与地震灾区重建计划的制定、实施。 </w:t>
      </w:r>
    </w:p>
    <w:p>
      <w:pPr>
        <w:spacing w:line="600" w:lineRule="exact"/>
        <w:ind w:firstLine="600" w:firstLineChars="200"/>
        <w:rPr>
          <w:rFonts w:eastAsia="仿宋_GB2312"/>
          <w:kern w:val="0"/>
          <w:sz w:val="30"/>
          <w:szCs w:val="30"/>
        </w:rPr>
      </w:pPr>
      <w:r>
        <w:rPr>
          <w:rFonts w:hint="eastAsia" w:eastAsia="仿宋_GB2312"/>
          <w:kern w:val="0"/>
          <w:sz w:val="30"/>
          <w:szCs w:val="30"/>
        </w:rPr>
        <w:t xml:space="preserve">3.制定全区防震减灾工作计划，并组织实施；建立和完善防震减灾计划体制和与之相应的经费渠道，并根据预算安排开展工作；管理、监督政府安排的防震减灾建设项目及专项资金的使用。 </w:t>
      </w:r>
    </w:p>
    <w:p>
      <w:pPr>
        <w:spacing w:line="600" w:lineRule="exact"/>
        <w:ind w:firstLine="600" w:firstLineChars="200"/>
        <w:rPr>
          <w:rFonts w:eastAsia="仿宋_GB2312"/>
          <w:kern w:val="0"/>
          <w:sz w:val="30"/>
          <w:szCs w:val="30"/>
        </w:rPr>
      </w:pPr>
      <w:r>
        <w:rPr>
          <w:rFonts w:hint="eastAsia" w:eastAsia="仿宋_GB2312"/>
          <w:kern w:val="0"/>
          <w:sz w:val="30"/>
          <w:szCs w:val="30"/>
        </w:rPr>
        <w:t xml:space="preserve">4.负责指导全区地震群测群防工作，并实施行业管理；会同有关部门依法保护地震监测设施和地震观测环境。 </w:t>
      </w:r>
    </w:p>
    <w:p>
      <w:pPr>
        <w:spacing w:line="600" w:lineRule="exact"/>
        <w:ind w:firstLine="600" w:firstLineChars="200"/>
        <w:rPr>
          <w:rFonts w:eastAsia="仿宋_GB2312"/>
          <w:kern w:val="0"/>
          <w:sz w:val="30"/>
          <w:szCs w:val="30"/>
        </w:rPr>
      </w:pPr>
      <w:r>
        <w:rPr>
          <w:rFonts w:hint="eastAsia" w:eastAsia="仿宋_GB2312"/>
          <w:kern w:val="0"/>
          <w:sz w:val="30"/>
          <w:szCs w:val="30"/>
        </w:rPr>
        <w:t xml:space="preserve">5.制订和完善全区《地震应急预案》，并组织实施；建立城市地震应急救援专用设备和救灾物资储备系统；建立和完善救灾物资调集、更替、管理制度和紧急救援征用体制；会同有关部门组织地震灾害调查与损失评估，及时作出地震震情和灾情速报；会同有关部门组建和培训灾害紧急救援队伍。 </w:t>
      </w:r>
    </w:p>
    <w:p>
      <w:pPr>
        <w:spacing w:line="600" w:lineRule="exact"/>
        <w:ind w:firstLine="600" w:firstLineChars="200"/>
        <w:rPr>
          <w:rFonts w:eastAsia="仿宋_GB2312"/>
          <w:kern w:val="0"/>
          <w:sz w:val="30"/>
          <w:szCs w:val="30"/>
        </w:rPr>
      </w:pPr>
      <w:r>
        <w:rPr>
          <w:rFonts w:hint="eastAsia" w:eastAsia="仿宋_GB2312"/>
          <w:kern w:val="0"/>
          <w:sz w:val="30"/>
          <w:szCs w:val="30"/>
        </w:rPr>
        <w:t xml:space="preserve">6.宣传《中华人民共和国防震减灾法》以及与防震减灾有关的法律、法规和方针、政策；承担全区的防震减灾行政复议、行政诉讼应诉工作；组织开展防震减灾科普知识、技能的宣传教育培训工作。 </w:t>
      </w:r>
    </w:p>
    <w:p>
      <w:pPr>
        <w:spacing w:line="600" w:lineRule="exact"/>
        <w:ind w:firstLine="600" w:firstLineChars="200"/>
        <w:rPr>
          <w:rFonts w:eastAsia="仿宋_GB2312"/>
          <w:kern w:val="0"/>
          <w:sz w:val="30"/>
          <w:szCs w:val="30"/>
        </w:rPr>
      </w:pPr>
      <w:r>
        <w:rPr>
          <w:rFonts w:hint="eastAsia" w:eastAsia="仿宋_GB2312"/>
          <w:kern w:val="0"/>
          <w:sz w:val="30"/>
          <w:szCs w:val="30"/>
        </w:rPr>
        <w:t>7.负责推进地震科学技术现代化，组织开展地震科学技术研究及有关成果的推广应用；开展地震科学技术的国际交流；指导本区与防震减灾有关的学会、协会的工作。</w:t>
      </w:r>
    </w:p>
    <w:p>
      <w:pPr>
        <w:spacing w:line="600" w:lineRule="exact"/>
        <w:ind w:firstLine="600" w:firstLineChars="200"/>
        <w:rPr>
          <w:rFonts w:eastAsia="仿宋_GB2312"/>
          <w:kern w:val="0"/>
          <w:sz w:val="30"/>
          <w:szCs w:val="30"/>
        </w:rPr>
      </w:pPr>
      <w:r>
        <w:rPr>
          <w:rFonts w:hint="eastAsia" w:eastAsia="仿宋_GB2312"/>
          <w:kern w:val="0"/>
          <w:sz w:val="30"/>
          <w:szCs w:val="30"/>
        </w:rPr>
        <w:t>8.承办区委、区政府和上级机关交办的其他事项。</w:t>
      </w:r>
    </w:p>
    <w:p>
      <w:pPr>
        <w:widowControl/>
        <w:ind w:firstLine="600" w:firstLineChars="200"/>
        <w:jc w:val="left"/>
        <w:rPr>
          <w:rFonts w:ascii="楷体_GB2312" w:eastAsia="楷体_GB2312"/>
          <w:kern w:val="0"/>
          <w:sz w:val="30"/>
          <w:szCs w:val="30"/>
        </w:rPr>
      </w:pPr>
      <w:r>
        <w:rPr>
          <w:rFonts w:hint="eastAsia" w:ascii="楷体_GB2312" w:eastAsia="楷体_GB2312"/>
          <w:kern w:val="0"/>
          <w:sz w:val="30"/>
          <w:szCs w:val="30"/>
        </w:rPr>
        <w:t>（二）机构设置情况</w:t>
      </w:r>
    </w:p>
    <w:p>
      <w:pPr>
        <w:widowControl/>
        <w:ind w:firstLine="600" w:firstLineChars="200"/>
        <w:jc w:val="left"/>
        <w:rPr>
          <w:rFonts w:eastAsia="仿宋_GB2312"/>
          <w:kern w:val="0"/>
          <w:sz w:val="30"/>
          <w:szCs w:val="30"/>
        </w:rPr>
      </w:pPr>
      <w:r>
        <w:rPr>
          <w:rFonts w:hint="eastAsia" w:eastAsia="仿宋_GB2312"/>
          <w:kern w:val="0"/>
          <w:sz w:val="30"/>
          <w:szCs w:val="30"/>
        </w:rPr>
        <w:t>经昆明市呈贡区委机构编制办公室（呈编办通【2012】34号）文件批复变更区防震减灾机构更名为昆明市呈贡区防震减灾局，</w:t>
      </w:r>
      <w:r>
        <w:rPr>
          <w:rFonts w:hint="eastAsia" w:ascii="仿宋_GB2312" w:hAnsi="宋体" w:eastAsia="仿宋_GB2312"/>
          <w:sz w:val="32"/>
          <w:szCs w:val="32"/>
        </w:rPr>
        <w:t>为昆明市呈贡区住房和城乡建设局下设事业单位。是</w:t>
      </w:r>
      <w:r>
        <w:rPr>
          <w:rFonts w:hint="eastAsia" w:eastAsia="仿宋_GB2312"/>
          <w:kern w:val="0"/>
          <w:sz w:val="30"/>
          <w:szCs w:val="30"/>
        </w:rPr>
        <w:t>参照公务员管理的事业单位，编制5名，其中局长1名。经费形式财政全额拨款。年末实有人数4人，退休2人。</w:t>
      </w:r>
    </w:p>
    <w:p>
      <w:pPr>
        <w:widowControl/>
        <w:ind w:firstLine="300" w:firstLineChars="100"/>
        <w:jc w:val="left"/>
        <w:rPr>
          <w:rFonts w:ascii="楷体_GB2312" w:eastAsia="楷体_GB2312"/>
          <w:kern w:val="0"/>
          <w:sz w:val="30"/>
          <w:szCs w:val="30"/>
        </w:rPr>
      </w:pPr>
      <w:r>
        <w:rPr>
          <w:rFonts w:hint="eastAsia" w:ascii="楷体_GB2312" w:eastAsia="楷体_GB2312"/>
          <w:kern w:val="0"/>
          <w:sz w:val="30"/>
          <w:szCs w:val="30"/>
        </w:rPr>
        <w:t>（三）重点工作概述</w:t>
      </w:r>
    </w:p>
    <w:p>
      <w:pPr>
        <w:pStyle w:val="11"/>
        <w:framePr w:wrap="auto" w:vAnchor="margin" w:hAnchor="text" w:yAlign="inline"/>
        <w:spacing w:line="560" w:lineRule="exact"/>
        <w:ind w:firstLine="640" w:firstLineChars="200"/>
        <w:rPr>
          <w:rFonts w:ascii="Times New Roman" w:hAnsi="Times New Roman" w:eastAsia="仿宋_GB2312" w:cs="Times New Roman"/>
          <w:sz w:val="32"/>
          <w:szCs w:val="32"/>
          <w:lang w:val="zh-TW" w:eastAsia="zh-TW"/>
        </w:rPr>
      </w:pP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lang w:val="zh-TW" w:eastAsia="zh-TW"/>
        </w:rPr>
        <w:t>制定《昆明市呈贡区</w:t>
      </w:r>
      <w:r>
        <w:rPr>
          <w:rFonts w:ascii="Times New Roman" w:hAnsi="Times New Roman" w:cs="Times New Roman"/>
          <w:sz w:val="32"/>
          <w:szCs w:val="32"/>
        </w:rPr>
        <w:t>201</w:t>
      </w:r>
      <w:r>
        <w:rPr>
          <w:rFonts w:hint="eastAsia" w:ascii="Times New Roman" w:hAnsi="Times New Roman" w:eastAsia="宋体" w:cs="Times New Roman"/>
          <w:sz w:val="32"/>
          <w:szCs w:val="32"/>
        </w:rPr>
        <w:t>9</w:t>
      </w:r>
      <w:r>
        <w:rPr>
          <w:rFonts w:ascii="Times New Roman" w:hAnsi="Times New Roman" w:eastAsia="仿宋_GB2312" w:cs="Times New Roman"/>
          <w:sz w:val="32"/>
          <w:szCs w:val="32"/>
          <w:lang w:val="zh-TW" w:eastAsia="zh-TW"/>
        </w:rPr>
        <w:t>年度震情跟踪工作方案》</w:t>
      </w:r>
      <w:r>
        <w:rPr>
          <w:rFonts w:hint="eastAsia" w:ascii="Times New Roman" w:hAnsi="Times New Roman" w:eastAsia="仿宋_GB2312" w:cs="Times New Roman"/>
          <w:sz w:val="32"/>
          <w:szCs w:val="32"/>
          <w:lang w:val="zh-TW"/>
        </w:rPr>
        <w:t>。</w:t>
      </w:r>
      <w:r>
        <w:rPr>
          <w:rFonts w:ascii="Times New Roman" w:hAnsi="Times New Roman" w:eastAsia="仿宋_GB2312" w:cs="Times New Roman"/>
          <w:sz w:val="32"/>
          <w:szCs w:val="32"/>
          <w:lang w:val="zh-TW" w:eastAsia="zh-TW"/>
        </w:rPr>
        <w:t>编写震情跟踪工作月报</w:t>
      </w:r>
      <w:r>
        <w:rPr>
          <w:rFonts w:ascii="Times New Roman" w:hAnsi="Times New Roman" w:cs="Times New Roman"/>
          <w:sz w:val="32"/>
          <w:szCs w:val="32"/>
        </w:rPr>
        <w:t>12</w:t>
      </w:r>
      <w:r>
        <w:rPr>
          <w:rFonts w:ascii="Times New Roman" w:hAnsi="Times New Roman" w:eastAsia="仿宋_GB2312" w:cs="Times New Roman"/>
          <w:sz w:val="32"/>
          <w:szCs w:val="32"/>
          <w:lang w:val="zh-TW" w:eastAsia="zh-TW"/>
        </w:rPr>
        <w:t>期。</w:t>
      </w:r>
    </w:p>
    <w:p>
      <w:pPr>
        <w:pStyle w:val="11"/>
        <w:framePr w:wrap="auto" w:vAnchor="margin" w:hAnchor="text" w:yAlign="inline"/>
        <w:spacing w:line="56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 推进3个骨干宏观测报点的管理。加强“三网一员”的管理，有制度、有方案、有部署、有检查、有培训、有总结。</w:t>
      </w:r>
    </w:p>
    <w:p>
      <w:pPr>
        <w:pStyle w:val="11"/>
        <w:framePr w:wrap="auto" w:vAnchor="margin" w:hAnchor="text" w:yAlign="inline"/>
        <w:spacing w:line="560" w:lineRule="exact"/>
        <w:ind w:firstLine="640" w:firstLineChars="200"/>
        <w:rPr>
          <w:rFonts w:hint="eastAsia" w:ascii="Times New Roman" w:hAnsi="Times New Roman" w:eastAsia="宋体" w:cs="Times New Roman"/>
          <w:sz w:val="32"/>
          <w:szCs w:val="32"/>
        </w:rPr>
      </w:pPr>
      <w:r>
        <w:rPr>
          <w:rFonts w:hint="eastAsia" w:ascii="Times New Roman" w:hAnsi="Times New Roman" w:eastAsia="宋体" w:cs="Times New Roman"/>
          <w:sz w:val="32"/>
          <w:szCs w:val="32"/>
        </w:rPr>
        <w:t>3.</w:t>
      </w:r>
      <w:r>
        <w:rPr>
          <w:rFonts w:hint="eastAsia" w:ascii="Times New Roman" w:hAnsi="Times New Roman" w:eastAsia="仿宋_GB2312" w:cs="Times New Roman"/>
          <w:sz w:val="32"/>
          <w:szCs w:val="32"/>
          <w:lang w:val="zh-TW"/>
        </w:rPr>
        <w:t>对防震减灾工作进行专项检查。</w:t>
      </w:r>
    </w:p>
    <w:p>
      <w:pPr>
        <w:pStyle w:val="11"/>
        <w:framePr w:wrap="auto" w:vAnchor="margin" w:hAnchor="text" w:yAlign="inline"/>
        <w:spacing w:line="560" w:lineRule="exact"/>
        <w:ind w:firstLine="640" w:firstLineChars="200"/>
        <w:rPr>
          <w:rStyle w:val="10"/>
          <w:rFonts w:hint="eastAsia" w:eastAsia="楷体_GB2312"/>
          <w:sz w:val="32"/>
          <w:szCs w:val="32"/>
        </w:rPr>
      </w:pPr>
      <w:r>
        <w:rPr>
          <w:rFonts w:hint="eastAsia" w:ascii="Times New Roman" w:hAnsi="Times New Roman" w:eastAsia="仿宋_GB2312" w:cs="Times New Roman"/>
          <w:sz w:val="32"/>
          <w:szCs w:val="32"/>
          <w:lang w:val="zh-TW"/>
        </w:rPr>
        <w:t>4.收集整理辖区2018年建设工程采用减隔震等新技术、新材料</w:t>
      </w:r>
      <w:r>
        <w:rPr>
          <w:rFonts w:ascii="Times New Roman" w:hAnsi="Times New Roman" w:eastAsia="仿宋_GB2312" w:cs="Times New Roman"/>
          <w:sz w:val="32"/>
          <w:szCs w:val="32"/>
          <w:lang w:val="zh-TW" w:eastAsia="zh-TW"/>
        </w:rPr>
        <w:t>在抗震设防中的推广应用</w:t>
      </w:r>
      <w:r>
        <w:rPr>
          <w:rFonts w:hint="eastAsia" w:ascii="Times New Roman" w:hAnsi="Times New Roman" w:eastAsia="仿宋_GB2312" w:cs="Times New Roman"/>
          <w:sz w:val="32"/>
          <w:szCs w:val="32"/>
          <w:lang w:val="zh-TW"/>
        </w:rPr>
        <w:t>。</w:t>
      </w:r>
    </w:p>
    <w:p>
      <w:pPr>
        <w:pStyle w:val="11"/>
        <w:framePr w:wrap="auto" w:vAnchor="margin" w:hAnchor="text" w:yAlign="inline"/>
        <w:spacing w:line="560" w:lineRule="exact"/>
        <w:ind w:firstLine="640" w:firstLineChars="200"/>
        <w:rPr>
          <w:rFonts w:ascii="Times New Roman" w:hAnsi="Times New Roman" w:eastAsia="仿宋_GB2312" w:cs="Times New Roman"/>
          <w:sz w:val="32"/>
          <w:szCs w:val="32"/>
          <w:lang w:eastAsia="zh-TW"/>
        </w:rPr>
      </w:pPr>
      <w:r>
        <w:rPr>
          <w:rStyle w:val="9"/>
          <w:rFonts w:hint="eastAsia" w:ascii="Times New Roman" w:hAnsi="Times New Roman" w:cs="Times New Roman"/>
        </w:rPr>
        <w:t>5.</w:t>
      </w:r>
      <w:r>
        <w:rPr>
          <w:rFonts w:hint="eastAsia" w:ascii="Times New Roman" w:hAnsi="Times New Roman" w:eastAsia="仿宋_GB2312" w:cs="Times New Roman"/>
          <w:sz w:val="32"/>
          <w:szCs w:val="32"/>
        </w:rPr>
        <w:t>利用各种形式和手段，开展《防震减灾法》和《云南省防震减灾条例》学习、宣传活动。继续</w:t>
      </w:r>
      <w:r>
        <w:rPr>
          <w:rFonts w:ascii="Times New Roman" w:hAnsi="Times New Roman" w:eastAsia="仿宋_GB2312" w:cs="Times New Roman"/>
          <w:sz w:val="32"/>
          <w:szCs w:val="32"/>
          <w:lang w:eastAsia="zh-TW"/>
        </w:rPr>
        <w:t>推进防震减灾宣传“</w:t>
      </w:r>
      <w:r>
        <w:rPr>
          <w:rFonts w:hint="eastAsia" w:ascii="Times New Roman" w:hAnsi="Times New Roman" w:eastAsia="仿宋_GB2312" w:cs="Times New Roman"/>
          <w:sz w:val="32"/>
          <w:szCs w:val="32"/>
        </w:rPr>
        <w:t>七</w:t>
      </w:r>
      <w:r>
        <w:rPr>
          <w:rFonts w:ascii="Times New Roman" w:hAnsi="Times New Roman" w:eastAsia="仿宋_GB2312" w:cs="Times New Roman"/>
          <w:sz w:val="32"/>
          <w:szCs w:val="32"/>
          <w:lang w:eastAsia="zh-TW"/>
        </w:rPr>
        <w:t>进”活动，全面提升全民防震减灾知识普及率。</w:t>
      </w:r>
    </w:p>
    <w:p>
      <w:pPr>
        <w:pStyle w:val="11"/>
        <w:framePr w:wrap="auto" w:vAnchor="margin" w:hAnchor="text" w:yAlign="inline"/>
        <w:spacing w:line="56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6.落实全市防震减灾工作会议精神，完成会议安排部署的年度重点工作。</w:t>
      </w:r>
    </w:p>
    <w:p>
      <w:pPr>
        <w:widowControl/>
        <w:ind w:firstLine="600" w:firstLineChars="200"/>
        <w:jc w:val="left"/>
        <w:rPr>
          <w:rFonts w:ascii="黑体" w:hAnsi="黑体" w:eastAsia="黑体"/>
          <w:kern w:val="0"/>
          <w:sz w:val="30"/>
          <w:szCs w:val="30"/>
        </w:rPr>
      </w:pPr>
      <w:r>
        <w:rPr>
          <w:rFonts w:hint="eastAsia" w:ascii="黑体" w:hAnsi="黑体" w:eastAsia="黑体"/>
          <w:kern w:val="0"/>
          <w:sz w:val="30"/>
          <w:szCs w:val="30"/>
        </w:rPr>
        <w:t>二、预算单位基本情况</w:t>
      </w:r>
    </w:p>
    <w:p>
      <w:pPr>
        <w:widowControl/>
        <w:ind w:firstLine="600" w:firstLineChars="200"/>
        <w:jc w:val="left"/>
        <w:rPr>
          <w:rFonts w:eastAsia="仿宋_GB2312"/>
          <w:kern w:val="0"/>
          <w:sz w:val="30"/>
          <w:szCs w:val="30"/>
        </w:rPr>
      </w:pPr>
      <w:r>
        <w:rPr>
          <w:rFonts w:hint="eastAsia" w:eastAsia="仿宋_GB2312"/>
          <w:kern w:val="0"/>
          <w:sz w:val="30"/>
          <w:szCs w:val="30"/>
        </w:rPr>
        <w:t>我部门编制2019年部门预算单位共1个。其中：财政全供给单位0个；部分供给单位0个；特殊供给单位0个；自收自支单位0个。财政全供给单位中行政单位0个；参公管理事业单位1个；非参公管理事业单位0个。截止</w:t>
      </w:r>
      <w:r>
        <w:rPr>
          <w:rFonts w:eastAsia="仿宋_GB2312"/>
          <w:kern w:val="0"/>
          <w:sz w:val="30"/>
          <w:szCs w:val="30"/>
        </w:rPr>
        <w:t>2018</w:t>
      </w:r>
      <w:r>
        <w:rPr>
          <w:rFonts w:hint="eastAsia" w:eastAsia="仿宋_GB2312"/>
          <w:kern w:val="0"/>
          <w:sz w:val="30"/>
          <w:szCs w:val="30"/>
        </w:rPr>
        <w:t>年</w:t>
      </w:r>
      <w:r>
        <w:rPr>
          <w:rFonts w:eastAsia="仿宋_GB2312"/>
          <w:kern w:val="0"/>
          <w:sz w:val="30"/>
          <w:szCs w:val="30"/>
        </w:rPr>
        <w:t>11</w:t>
      </w:r>
      <w:r>
        <w:rPr>
          <w:rFonts w:hint="eastAsia" w:eastAsia="仿宋_GB2312"/>
          <w:kern w:val="0"/>
          <w:sz w:val="30"/>
          <w:szCs w:val="30"/>
        </w:rPr>
        <w:t>月统计，部门基本情况如下：</w:t>
      </w:r>
    </w:p>
    <w:p>
      <w:pPr>
        <w:widowControl/>
        <w:ind w:firstLine="600" w:firstLineChars="200"/>
        <w:jc w:val="left"/>
        <w:rPr>
          <w:rFonts w:eastAsia="仿宋_GB2312"/>
          <w:kern w:val="0"/>
          <w:sz w:val="30"/>
          <w:szCs w:val="30"/>
        </w:rPr>
      </w:pPr>
      <w:r>
        <w:rPr>
          <w:rFonts w:hint="eastAsia" w:eastAsia="仿宋_GB2312"/>
          <w:kern w:val="0"/>
          <w:sz w:val="30"/>
          <w:szCs w:val="30"/>
        </w:rPr>
        <w:t>在职人员编制5人，其中：行政编制</w:t>
      </w:r>
      <w:r>
        <w:rPr>
          <w:rFonts w:eastAsia="仿宋_GB2312"/>
          <w:kern w:val="0"/>
          <w:sz w:val="30"/>
          <w:szCs w:val="30"/>
        </w:rPr>
        <w:t xml:space="preserve"> </w:t>
      </w:r>
      <w:r>
        <w:rPr>
          <w:rFonts w:hint="eastAsia" w:eastAsia="仿宋_GB2312"/>
          <w:kern w:val="0"/>
          <w:sz w:val="30"/>
          <w:szCs w:val="30"/>
        </w:rPr>
        <w:t>0人，事业编制5人。在职实有4人，其中：财政全供养</w:t>
      </w:r>
      <w:r>
        <w:rPr>
          <w:rFonts w:eastAsia="仿宋_GB2312"/>
          <w:kern w:val="0"/>
          <w:sz w:val="30"/>
          <w:szCs w:val="30"/>
        </w:rPr>
        <w:t xml:space="preserve"> </w:t>
      </w:r>
      <w:r>
        <w:rPr>
          <w:rFonts w:hint="eastAsia" w:eastAsia="仿宋_GB2312"/>
          <w:kern w:val="0"/>
          <w:sz w:val="30"/>
          <w:szCs w:val="30"/>
        </w:rPr>
        <w:t>4人，财政部分供养0人，非财政供养0人。</w:t>
      </w:r>
    </w:p>
    <w:p>
      <w:pPr>
        <w:widowControl/>
        <w:ind w:firstLine="600" w:firstLineChars="200"/>
        <w:jc w:val="left"/>
        <w:rPr>
          <w:rFonts w:eastAsia="仿宋_GB2312"/>
          <w:kern w:val="0"/>
          <w:sz w:val="30"/>
          <w:szCs w:val="30"/>
        </w:rPr>
      </w:pPr>
      <w:r>
        <w:rPr>
          <w:rFonts w:hint="eastAsia" w:eastAsia="仿宋_GB2312"/>
          <w:kern w:val="0"/>
          <w:sz w:val="30"/>
          <w:szCs w:val="30"/>
        </w:rPr>
        <w:t>离退休人员</w:t>
      </w:r>
      <w:r>
        <w:rPr>
          <w:rFonts w:eastAsia="仿宋_GB2312"/>
          <w:kern w:val="0"/>
          <w:sz w:val="30"/>
          <w:szCs w:val="30"/>
        </w:rPr>
        <w:t xml:space="preserve"> </w:t>
      </w:r>
      <w:r>
        <w:rPr>
          <w:rFonts w:hint="eastAsia" w:eastAsia="仿宋_GB2312"/>
          <w:kern w:val="0"/>
          <w:sz w:val="30"/>
          <w:szCs w:val="30"/>
        </w:rPr>
        <w:t>2人，其中：离休</w:t>
      </w:r>
      <w:r>
        <w:rPr>
          <w:rFonts w:eastAsia="仿宋_GB2312"/>
          <w:kern w:val="0"/>
          <w:sz w:val="30"/>
          <w:szCs w:val="30"/>
        </w:rPr>
        <w:t xml:space="preserve"> </w:t>
      </w:r>
      <w:r>
        <w:rPr>
          <w:rFonts w:hint="eastAsia" w:eastAsia="仿宋_GB2312"/>
          <w:kern w:val="0"/>
          <w:sz w:val="30"/>
          <w:szCs w:val="30"/>
        </w:rPr>
        <w:t>0人，退休2人。</w:t>
      </w:r>
    </w:p>
    <w:p>
      <w:pPr>
        <w:widowControl/>
        <w:ind w:firstLine="600" w:firstLineChars="200"/>
        <w:jc w:val="left"/>
        <w:rPr>
          <w:rFonts w:eastAsia="仿宋_GB2312"/>
          <w:kern w:val="0"/>
          <w:sz w:val="30"/>
          <w:szCs w:val="30"/>
        </w:rPr>
      </w:pPr>
      <w:r>
        <w:rPr>
          <w:rFonts w:hint="eastAsia" w:eastAsia="仿宋_GB2312"/>
          <w:kern w:val="0"/>
          <w:sz w:val="30"/>
          <w:szCs w:val="30"/>
        </w:rPr>
        <w:t>车辆编制1辆，实有车辆1辆。</w:t>
      </w:r>
    </w:p>
    <w:p>
      <w:pPr>
        <w:widowControl/>
        <w:ind w:firstLine="600" w:firstLineChars="200"/>
        <w:jc w:val="left"/>
        <w:rPr>
          <w:rFonts w:ascii="黑体" w:hAnsi="黑体" w:eastAsia="黑体"/>
          <w:kern w:val="0"/>
          <w:sz w:val="30"/>
          <w:szCs w:val="30"/>
        </w:rPr>
      </w:pPr>
      <w:r>
        <w:rPr>
          <w:rFonts w:hint="eastAsia" w:ascii="黑体" w:hAnsi="黑体" w:eastAsia="黑体"/>
          <w:kern w:val="0"/>
          <w:sz w:val="30"/>
          <w:szCs w:val="30"/>
        </w:rPr>
        <w:t>三、预算单位收入情况</w:t>
      </w:r>
    </w:p>
    <w:p>
      <w:pPr>
        <w:widowControl/>
        <w:ind w:firstLine="450" w:firstLineChars="150"/>
        <w:jc w:val="left"/>
        <w:rPr>
          <w:rFonts w:ascii="楷体_GB2312" w:eastAsia="楷体_GB2312"/>
          <w:kern w:val="0"/>
          <w:sz w:val="30"/>
          <w:szCs w:val="30"/>
        </w:rPr>
      </w:pPr>
      <w:r>
        <w:rPr>
          <w:rFonts w:hint="eastAsia" w:ascii="楷体_GB2312" w:eastAsia="楷体_GB2312"/>
          <w:kern w:val="0"/>
          <w:sz w:val="30"/>
          <w:szCs w:val="30"/>
        </w:rPr>
        <w:t>（一）部门财务收入情况</w:t>
      </w:r>
    </w:p>
    <w:p>
      <w:pPr>
        <w:widowControl/>
        <w:ind w:firstLine="750" w:firstLineChars="250"/>
        <w:jc w:val="left"/>
        <w:rPr>
          <w:rFonts w:eastAsia="仿宋_GB2312"/>
          <w:kern w:val="0"/>
          <w:sz w:val="30"/>
          <w:szCs w:val="30"/>
        </w:rPr>
      </w:pPr>
      <w:r>
        <w:rPr>
          <w:rFonts w:hint="eastAsia" w:eastAsia="仿宋_GB2312"/>
          <w:kern w:val="0"/>
          <w:sz w:val="30"/>
          <w:szCs w:val="30"/>
        </w:rPr>
        <w:t>2019年部门财务总收入</w:t>
      </w:r>
      <w:r>
        <w:rPr>
          <w:rFonts w:eastAsia="仿宋_GB2312"/>
          <w:kern w:val="0"/>
          <w:sz w:val="30"/>
          <w:szCs w:val="30"/>
        </w:rPr>
        <w:t xml:space="preserve"> </w:t>
      </w:r>
      <w:r>
        <w:rPr>
          <w:rFonts w:hint="eastAsia" w:eastAsia="仿宋_GB2312"/>
          <w:kern w:val="0"/>
          <w:sz w:val="30"/>
          <w:szCs w:val="30"/>
        </w:rPr>
        <w:t>122.65万元，其中：一般公共预算财政拨款122.65万元，政府性基金预算财政拨款0万元，国有资本经营预算财政拨款0万元，事业收入0万元，事业单位经营收入0万元，其他收入0万元，上年结转0万元。</w:t>
      </w:r>
    </w:p>
    <w:p>
      <w:pPr>
        <w:widowControl/>
        <w:ind w:firstLine="450" w:firstLineChars="150"/>
        <w:jc w:val="left"/>
        <w:rPr>
          <w:rFonts w:ascii="楷体_GB2312" w:eastAsia="楷体_GB2312"/>
          <w:kern w:val="0"/>
          <w:sz w:val="30"/>
          <w:szCs w:val="30"/>
        </w:rPr>
      </w:pPr>
      <w:r>
        <w:rPr>
          <w:rFonts w:hint="eastAsia" w:ascii="楷体_GB2312" w:eastAsia="楷体_GB2312"/>
          <w:kern w:val="0"/>
          <w:sz w:val="30"/>
          <w:szCs w:val="30"/>
        </w:rPr>
        <w:t>（二）财政拨款收入情况</w:t>
      </w:r>
    </w:p>
    <w:p>
      <w:pPr>
        <w:widowControl/>
        <w:ind w:firstLine="750" w:firstLineChars="250"/>
        <w:jc w:val="left"/>
        <w:rPr>
          <w:rFonts w:eastAsia="仿宋_GB2312"/>
          <w:kern w:val="0"/>
          <w:sz w:val="30"/>
          <w:szCs w:val="30"/>
        </w:rPr>
      </w:pPr>
      <w:r>
        <w:rPr>
          <w:rFonts w:hint="eastAsia" w:eastAsia="仿宋_GB2312"/>
          <w:kern w:val="0"/>
          <w:sz w:val="30"/>
          <w:szCs w:val="30"/>
        </w:rPr>
        <w:t>2019年部门财政拨款收入122.65万元，其中</w:t>
      </w:r>
      <w:r>
        <w:rPr>
          <w:rFonts w:eastAsia="仿宋_GB2312"/>
          <w:kern w:val="0"/>
          <w:sz w:val="30"/>
          <w:szCs w:val="30"/>
        </w:rPr>
        <w:t>:</w:t>
      </w:r>
      <w:r>
        <w:rPr>
          <w:rFonts w:hint="eastAsia" w:eastAsia="仿宋_GB2312"/>
          <w:kern w:val="0"/>
          <w:sz w:val="30"/>
          <w:szCs w:val="30"/>
        </w:rPr>
        <w:t>本年收入122.65万元，上年结转收入0.35万元。本年收入中，一般公共预算财政拨款122.65万元（本级财力122.65万元，专项收入0万元，执法办案补助0万元，收费成本补偿0万元，财政专户管理的收入0万元，国有资源（资产）有偿使用收入0万元），政府性基金财政拨款0万元，国有资本经营预算财政拨款0万元。</w:t>
      </w:r>
    </w:p>
    <w:p>
      <w:pPr>
        <w:widowControl/>
        <w:ind w:firstLine="600" w:firstLineChars="200"/>
        <w:jc w:val="left"/>
        <w:rPr>
          <w:rFonts w:ascii="黑体" w:hAnsi="黑体" w:eastAsia="黑体"/>
          <w:kern w:val="0"/>
          <w:sz w:val="30"/>
          <w:szCs w:val="30"/>
        </w:rPr>
      </w:pPr>
      <w:r>
        <w:rPr>
          <w:rFonts w:hint="eastAsia" w:ascii="黑体" w:hAnsi="黑体" w:eastAsia="黑体"/>
          <w:kern w:val="0"/>
          <w:sz w:val="30"/>
          <w:szCs w:val="30"/>
        </w:rPr>
        <w:t>四、预算单位支出情况</w:t>
      </w:r>
    </w:p>
    <w:p>
      <w:pPr>
        <w:widowControl/>
        <w:ind w:firstLine="600" w:firstLineChars="200"/>
        <w:jc w:val="left"/>
        <w:rPr>
          <w:rFonts w:eastAsia="仿宋_GB2312"/>
          <w:kern w:val="0"/>
          <w:sz w:val="30"/>
          <w:szCs w:val="30"/>
        </w:rPr>
      </w:pPr>
      <w:r>
        <w:rPr>
          <w:rFonts w:hint="eastAsia" w:eastAsia="仿宋_GB2312"/>
          <w:kern w:val="0"/>
          <w:sz w:val="30"/>
          <w:szCs w:val="30"/>
        </w:rPr>
        <w:t>2019年部门预算总支出122.65万元。本级财力安排支出</w:t>
      </w:r>
      <w:r>
        <w:rPr>
          <w:rFonts w:eastAsia="仿宋_GB2312"/>
          <w:kern w:val="0"/>
          <w:sz w:val="30"/>
          <w:szCs w:val="30"/>
        </w:rPr>
        <w:t xml:space="preserve"> </w:t>
      </w:r>
      <w:r>
        <w:rPr>
          <w:rFonts w:hint="eastAsia" w:eastAsia="仿宋_GB2312"/>
          <w:kern w:val="0"/>
          <w:sz w:val="30"/>
          <w:szCs w:val="30"/>
        </w:rPr>
        <w:t>122.65万元，其中，基本支出90.75万元，项目支出31.9万元。</w:t>
      </w:r>
    </w:p>
    <w:p>
      <w:pPr>
        <w:widowControl/>
        <w:numPr>
          <w:ilvl w:val="0"/>
          <w:numId w:val="1"/>
        </w:numPr>
        <w:jc w:val="left"/>
        <w:rPr>
          <w:rFonts w:ascii="楷体_GB2312" w:eastAsia="楷体_GB2312"/>
          <w:kern w:val="0"/>
          <w:sz w:val="30"/>
          <w:szCs w:val="30"/>
        </w:rPr>
      </w:pPr>
      <w:r>
        <w:rPr>
          <w:rFonts w:hint="eastAsia" w:ascii="楷体_GB2312" w:eastAsia="楷体_GB2312"/>
          <w:kern w:val="0"/>
          <w:sz w:val="30"/>
          <w:szCs w:val="30"/>
        </w:rPr>
        <w:t>本级财力支出按功能科目分类情况</w:t>
      </w:r>
    </w:p>
    <w:p>
      <w:pPr>
        <w:ind w:firstLine="600" w:firstLineChars="200"/>
        <w:rPr>
          <w:rFonts w:ascii="仿宋_GB2312" w:eastAsia="仿宋_GB2312"/>
          <w:sz w:val="32"/>
          <w:szCs w:val="32"/>
        </w:rPr>
      </w:pPr>
      <w:r>
        <w:rPr>
          <w:rFonts w:hint="eastAsia" w:eastAsia="仿宋_GB2312"/>
          <w:kern w:val="0"/>
          <w:sz w:val="30"/>
          <w:szCs w:val="30"/>
        </w:rPr>
        <w:t>按支出功能科目分类，支出分别“21206”“20508”、“20805”、“21206”等支出，各类款资金明细如下表：</w:t>
      </w:r>
    </w:p>
    <w:tbl>
      <w:tblPr>
        <w:tblStyle w:val="5"/>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2409"/>
        <w:gridCol w:w="993"/>
        <w:gridCol w:w="3402"/>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Pr>
          <w:p>
            <w:pPr>
              <w:rPr>
                <w:rFonts w:ascii="仿宋_GB2312" w:eastAsia="仿宋_GB2312"/>
                <w:sz w:val="24"/>
              </w:rPr>
            </w:pPr>
            <w:r>
              <w:rPr>
                <w:rFonts w:hint="eastAsia" w:ascii="仿宋_GB2312" w:eastAsia="仿宋_GB2312"/>
                <w:sz w:val="24"/>
              </w:rPr>
              <w:t>类款</w:t>
            </w:r>
          </w:p>
        </w:tc>
        <w:tc>
          <w:tcPr>
            <w:tcW w:w="2409" w:type="dxa"/>
          </w:tcPr>
          <w:p>
            <w:pPr>
              <w:rPr>
                <w:rFonts w:ascii="仿宋_GB2312" w:eastAsia="仿宋_GB2312"/>
                <w:sz w:val="24"/>
              </w:rPr>
            </w:pPr>
            <w:r>
              <w:rPr>
                <w:rFonts w:hint="eastAsia" w:ascii="仿宋_GB2312" w:eastAsia="仿宋_GB2312"/>
                <w:sz w:val="24"/>
              </w:rPr>
              <w:t>项目名称</w:t>
            </w:r>
          </w:p>
        </w:tc>
        <w:tc>
          <w:tcPr>
            <w:tcW w:w="993" w:type="dxa"/>
          </w:tcPr>
          <w:p>
            <w:pPr>
              <w:rPr>
                <w:rFonts w:ascii="仿宋_GB2312" w:eastAsia="仿宋_GB2312"/>
                <w:sz w:val="24"/>
              </w:rPr>
            </w:pPr>
            <w:r>
              <w:rPr>
                <w:rFonts w:hint="eastAsia" w:ascii="仿宋_GB2312" w:eastAsia="仿宋_GB2312"/>
                <w:sz w:val="24"/>
              </w:rPr>
              <w:t>金额</w:t>
            </w:r>
          </w:p>
        </w:tc>
        <w:tc>
          <w:tcPr>
            <w:tcW w:w="3402" w:type="dxa"/>
          </w:tcPr>
          <w:p>
            <w:pPr>
              <w:ind w:firstLine="960" w:firstLineChars="400"/>
              <w:rPr>
                <w:rFonts w:ascii="仿宋_GB2312" w:eastAsia="仿宋_GB2312"/>
                <w:sz w:val="24"/>
              </w:rPr>
            </w:pPr>
            <w:r>
              <w:rPr>
                <w:rFonts w:hint="eastAsia" w:ascii="仿宋_GB2312" w:eastAsia="仿宋_GB2312"/>
                <w:sz w:val="24"/>
              </w:rPr>
              <w:t>核算内容</w:t>
            </w:r>
          </w:p>
        </w:tc>
        <w:tc>
          <w:tcPr>
            <w:tcW w:w="567" w:type="dxa"/>
          </w:tcPr>
          <w:p>
            <w:pPr>
              <w:rPr>
                <w:rFonts w:ascii="仿宋_GB2312" w:eastAsia="仿宋_GB2312"/>
                <w:sz w:val="24"/>
              </w:rPr>
            </w:pPr>
            <w:r>
              <w:rPr>
                <w:rFonts w:hint="eastAsia" w:ascii="仿宋_GB2312" w:eastAsia="仿宋_GB231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trPr>
        <w:tc>
          <w:tcPr>
            <w:tcW w:w="1101" w:type="dxa"/>
          </w:tcPr>
          <w:p>
            <w:pPr>
              <w:rPr>
                <w:rFonts w:ascii="仿宋_GB2312" w:eastAsia="仿宋_GB2312"/>
                <w:sz w:val="24"/>
              </w:rPr>
            </w:pPr>
            <w:r>
              <w:rPr>
                <w:rFonts w:hint="eastAsia" w:ascii="仿宋_GB2312" w:eastAsia="仿宋_GB2312"/>
                <w:sz w:val="24"/>
              </w:rPr>
              <w:t>20508</w:t>
            </w:r>
          </w:p>
        </w:tc>
        <w:tc>
          <w:tcPr>
            <w:tcW w:w="2409" w:type="dxa"/>
          </w:tcPr>
          <w:p>
            <w:pPr>
              <w:rPr>
                <w:rFonts w:ascii="仿宋_GB2312" w:eastAsia="仿宋_GB2312"/>
                <w:sz w:val="24"/>
              </w:rPr>
            </w:pPr>
            <w:r>
              <w:rPr>
                <w:rFonts w:hint="eastAsia" w:ascii="仿宋_GB2312" w:eastAsia="仿宋_GB2312"/>
                <w:sz w:val="24"/>
              </w:rPr>
              <w:t>进修及培训</w:t>
            </w:r>
          </w:p>
        </w:tc>
        <w:tc>
          <w:tcPr>
            <w:tcW w:w="993" w:type="dxa"/>
          </w:tcPr>
          <w:p>
            <w:pPr>
              <w:rPr>
                <w:rFonts w:ascii="仿宋_GB2312" w:eastAsia="仿宋_GB2312"/>
                <w:sz w:val="24"/>
              </w:rPr>
            </w:pPr>
            <w:r>
              <w:rPr>
                <w:rFonts w:hint="eastAsia" w:ascii="仿宋_GB2312" w:eastAsia="仿宋_GB2312"/>
                <w:sz w:val="24"/>
              </w:rPr>
              <w:t>0.12</w:t>
            </w:r>
          </w:p>
        </w:tc>
        <w:tc>
          <w:tcPr>
            <w:tcW w:w="3402" w:type="dxa"/>
          </w:tcPr>
          <w:p>
            <w:pPr>
              <w:rPr>
                <w:rFonts w:ascii="仿宋_GB2312" w:eastAsia="仿宋_GB2312"/>
                <w:sz w:val="24"/>
              </w:rPr>
            </w:pPr>
            <w:r>
              <w:rPr>
                <w:rFonts w:hint="eastAsia" w:ascii="仿宋_GB2312" w:eastAsia="仿宋_GB2312"/>
                <w:sz w:val="24"/>
              </w:rPr>
              <w:t>对职工教育培训方面支出</w:t>
            </w:r>
          </w:p>
        </w:tc>
        <w:tc>
          <w:tcPr>
            <w:tcW w:w="567" w:type="dxa"/>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Pr>
          <w:p>
            <w:pPr>
              <w:rPr>
                <w:rFonts w:ascii="仿宋_GB2312" w:eastAsia="仿宋_GB2312"/>
                <w:sz w:val="24"/>
              </w:rPr>
            </w:pPr>
            <w:r>
              <w:rPr>
                <w:rFonts w:hint="eastAsia" w:ascii="仿宋_GB2312" w:eastAsia="仿宋_GB2312"/>
                <w:sz w:val="24"/>
              </w:rPr>
              <w:t>20805</w:t>
            </w:r>
          </w:p>
        </w:tc>
        <w:tc>
          <w:tcPr>
            <w:tcW w:w="2409" w:type="dxa"/>
          </w:tcPr>
          <w:p>
            <w:pPr>
              <w:rPr>
                <w:rFonts w:ascii="仿宋_GB2312" w:eastAsia="仿宋_GB2312"/>
                <w:sz w:val="24"/>
              </w:rPr>
            </w:pPr>
            <w:r>
              <w:rPr>
                <w:rFonts w:hint="eastAsia" w:ascii="仿宋_GB2312" w:eastAsia="仿宋_GB2312"/>
                <w:sz w:val="24"/>
              </w:rPr>
              <w:t>养老保险</w:t>
            </w:r>
          </w:p>
        </w:tc>
        <w:tc>
          <w:tcPr>
            <w:tcW w:w="993" w:type="dxa"/>
          </w:tcPr>
          <w:p>
            <w:pPr>
              <w:rPr>
                <w:rFonts w:ascii="仿宋_GB2312" w:eastAsia="仿宋_GB2312"/>
                <w:sz w:val="24"/>
              </w:rPr>
            </w:pPr>
            <w:r>
              <w:rPr>
                <w:rFonts w:hint="eastAsia" w:ascii="仿宋_GB2312" w:eastAsia="仿宋_GB2312"/>
                <w:sz w:val="24"/>
              </w:rPr>
              <w:t>13.28</w:t>
            </w:r>
          </w:p>
        </w:tc>
        <w:tc>
          <w:tcPr>
            <w:tcW w:w="3402" w:type="dxa"/>
          </w:tcPr>
          <w:p>
            <w:pPr>
              <w:rPr>
                <w:rFonts w:ascii="仿宋_GB2312" w:eastAsia="仿宋_GB2312"/>
                <w:sz w:val="24"/>
              </w:rPr>
            </w:pPr>
            <w:r>
              <w:rPr>
                <w:rFonts w:hint="eastAsia" w:ascii="仿宋_GB2312" w:eastAsia="仿宋_GB2312"/>
                <w:sz w:val="24"/>
              </w:rPr>
              <w:t>事业单位养老保险缴费支出</w:t>
            </w:r>
          </w:p>
        </w:tc>
        <w:tc>
          <w:tcPr>
            <w:tcW w:w="567" w:type="dxa"/>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Pr>
          <w:p>
            <w:pPr>
              <w:rPr>
                <w:rFonts w:hint="default" w:ascii="仿宋_GB2312" w:eastAsia="仿宋_GB2312"/>
                <w:sz w:val="24"/>
                <w:lang w:val="en-US" w:eastAsia="zh-CN"/>
              </w:rPr>
            </w:pPr>
            <w:r>
              <w:rPr>
                <w:rFonts w:hint="eastAsia" w:ascii="仿宋_GB2312" w:eastAsia="仿宋_GB2312"/>
                <w:sz w:val="24"/>
                <w:lang w:val="en-US" w:eastAsia="zh-CN"/>
              </w:rPr>
              <w:t>22405</w:t>
            </w:r>
          </w:p>
        </w:tc>
        <w:tc>
          <w:tcPr>
            <w:tcW w:w="2409" w:type="dxa"/>
          </w:tcPr>
          <w:p>
            <w:pPr>
              <w:rPr>
                <w:rFonts w:hint="default" w:ascii="仿宋_GB2312" w:eastAsia="仿宋_GB2312"/>
                <w:sz w:val="24"/>
                <w:lang w:val="en-US" w:eastAsia="zh-CN"/>
              </w:rPr>
            </w:pPr>
            <w:r>
              <w:rPr>
                <w:rFonts w:hint="eastAsia" w:ascii="仿宋_GB2312" w:eastAsia="仿宋_GB2312"/>
                <w:sz w:val="24"/>
                <w:lang w:val="en-US" w:eastAsia="zh-CN"/>
              </w:rPr>
              <w:t>地震事务</w:t>
            </w:r>
          </w:p>
        </w:tc>
        <w:tc>
          <w:tcPr>
            <w:tcW w:w="993" w:type="dxa"/>
          </w:tcPr>
          <w:p>
            <w:pPr>
              <w:rPr>
                <w:rFonts w:ascii="仿宋_GB2312" w:eastAsia="仿宋_GB2312"/>
                <w:sz w:val="24"/>
              </w:rPr>
            </w:pPr>
            <w:r>
              <w:rPr>
                <w:rFonts w:hint="eastAsia" w:ascii="仿宋_GB2312" w:eastAsia="仿宋_GB2312"/>
                <w:sz w:val="24"/>
              </w:rPr>
              <w:t>103.43</w:t>
            </w:r>
          </w:p>
        </w:tc>
        <w:tc>
          <w:tcPr>
            <w:tcW w:w="3402" w:type="dxa"/>
          </w:tcPr>
          <w:p>
            <w:pPr>
              <w:rPr>
                <w:rFonts w:ascii="仿宋_GB2312" w:eastAsia="仿宋_GB2312"/>
                <w:sz w:val="24"/>
              </w:rPr>
            </w:pPr>
            <w:r>
              <w:rPr>
                <w:rFonts w:hint="eastAsia" w:ascii="仿宋_GB2312" w:eastAsia="仿宋_GB2312"/>
                <w:sz w:val="24"/>
              </w:rPr>
              <w:t>人员工资及维持机构运转支出</w:t>
            </w:r>
          </w:p>
        </w:tc>
        <w:tc>
          <w:tcPr>
            <w:tcW w:w="567" w:type="dxa"/>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Pr>
          <w:p>
            <w:pPr>
              <w:rPr>
                <w:rFonts w:ascii="仿宋_GB2312" w:eastAsia="仿宋_GB2312"/>
                <w:sz w:val="24"/>
              </w:rPr>
            </w:pPr>
            <w:r>
              <w:rPr>
                <w:rFonts w:hint="eastAsia" w:ascii="仿宋_GB2312" w:eastAsia="仿宋_GB2312"/>
                <w:sz w:val="24"/>
              </w:rPr>
              <w:t>22102</w:t>
            </w:r>
          </w:p>
        </w:tc>
        <w:tc>
          <w:tcPr>
            <w:tcW w:w="2409" w:type="dxa"/>
          </w:tcPr>
          <w:p>
            <w:pPr>
              <w:rPr>
                <w:rFonts w:ascii="仿宋_GB2312" w:eastAsia="仿宋_GB2312"/>
                <w:sz w:val="24"/>
              </w:rPr>
            </w:pPr>
            <w:r>
              <w:rPr>
                <w:rFonts w:hint="eastAsia" w:ascii="仿宋_GB2312" w:eastAsia="仿宋_GB2312"/>
                <w:sz w:val="24"/>
              </w:rPr>
              <w:t>住房改革支出</w:t>
            </w:r>
          </w:p>
        </w:tc>
        <w:tc>
          <w:tcPr>
            <w:tcW w:w="993" w:type="dxa"/>
          </w:tcPr>
          <w:p>
            <w:pPr>
              <w:rPr>
                <w:rFonts w:ascii="仿宋_GB2312" w:eastAsia="仿宋_GB2312"/>
                <w:sz w:val="24"/>
              </w:rPr>
            </w:pPr>
            <w:r>
              <w:rPr>
                <w:rFonts w:hint="eastAsia" w:ascii="仿宋_GB2312" w:eastAsia="仿宋_GB2312"/>
                <w:sz w:val="24"/>
              </w:rPr>
              <w:t>5.82</w:t>
            </w:r>
          </w:p>
        </w:tc>
        <w:tc>
          <w:tcPr>
            <w:tcW w:w="3402" w:type="dxa"/>
          </w:tcPr>
          <w:p>
            <w:pPr>
              <w:rPr>
                <w:rFonts w:ascii="仿宋_GB2312" w:eastAsia="仿宋_GB2312"/>
                <w:sz w:val="24"/>
              </w:rPr>
            </w:pPr>
            <w:r>
              <w:rPr>
                <w:rFonts w:hint="eastAsia" w:ascii="仿宋_GB2312" w:eastAsia="仿宋_GB2312"/>
                <w:sz w:val="24"/>
              </w:rPr>
              <w:t>缴纳住房公积金支出</w:t>
            </w:r>
          </w:p>
        </w:tc>
        <w:tc>
          <w:tcPr>
            <w:tcW w:w="567" w:type="dxa"/>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Pr>
          <w:p>
            <w:pPr>
              <w:rPr>
                <w:rFonts w:ascii="仿宋_GB2312" w:eastAsia="仿宋_GB2312"/>
                <w:sz w:val="24"/>
              </w:rPr>
            </w:pPr>
          </w:p>
        </w:tc>
        <w:tc>
          <w:tcPr>
            <w:tcW w:w="2409" w:type="dxa"/>
          </w:tcPr>
          <w:p>
            <w:pPr>
              <w:rPr>
                <w:rFonts w:ascii="仿宋_GB2312" w:eastAsia="仿宋_GB2312"/>
                <w:sz w:val="24"/>
              </w:rPr>
            </w:pPr>
            <w:r>
              <w:rPr>
                <w:rFonts w:hint="eastAsia" w:ascii="仿宋_GB2312" w:eastAsia="仿宋_GB2312"/>
                <w:sz w:val="24"/>
              </w:rPr>
              <w:t xml:space="preserve">小计 </w:t>
            </w:r>
          </w:p>
        </w:tc>
        <w:tc>
          <w:tcPr>
            <w:tcW w:w="993" w:type="dxa"/>
          </w:tcPr>
          <w:p>
            <w:pPr>
              <w:rPr>
                <w:rFonts w:ascii="仿宋_GB2312" w:eastAsia="仿宋_GB2312"/>
                <w:sz w:val="24"/>
              </w:rPr>
            </w:pPr>
            <w:r>
              <w:rPr>
                <w:rFonts w:hint="eastAsia" w:ascii="仿宋_GB2312" w:eastAsia="仿宋_GB2312"/>
                <w:sz w:val="24"/>
              </w:rPr>
              <w:t>122.65</w:t>
            </w:r>
          </w:p>
        </w:tc>
        <w:tc>
          <w:tcPr>
            <w:tcW w:w="3402" w:type="dxa"/>
          </w:tcPr>
          <w:p>
            <w:pPr>
              <w:rPr>
                <w:rFonts w:ascii="仿宋_GB2312" w:eastAsia="仿宋_GB2312"/>
                <w:sz w:val="24"/>
              </w:rPr>
            </w:pPr>
          </w:p>
        </w:tc>
        <w:tc>
          <w:tcPr>
            <w:tcW w:w="567" w:type="dxa"/>
          </w:tcPr>
          <w:p>
            <w:pPr>
              <w:rPr>
                <w:rFonts w:ascii="仿宋_GB2312" w:eastAsia="仿宋_GB2312"/>
                <w:sz w:val="24"/>
              </w:rPr>
            </w:pPr>
          </w:p>
        </w:tc>
      </w:tr>
    </w:tbl>
    <w:p>
      <w:pPr>
        <w:widowControl/>
        <w:ind w:firstLine="450" w:firstLineChars="150"/>
        <w:jc w:val="left"/>
        <w:rPr>
          <w:rFonts w:ascii="楷体_GB2312" w:eastAsia="楷体_GB2312"/>
          <w:kern w:val="0"/>
          <w:sz w:val="30"/>
          <w:szCs w:val="30"/>
        </w:rPr>
      </w:pPr>
      <w:r>
        <w:rPr>
          <w:rFonts w:hint="eastAsia" w:ascii="楷体_GB2312" w:eastAsia="楷体_GB2312"/>
          <w:kern w:val="0"/>
          <w:sz w:val="30"/>
          <w:szCs w:val="30"/>
        </w:rPr>
        <w:t>（二）本级财力支出按经济科目分类情况</w:t>
      </w:r>
    </w:p>
    <w:p>
      <w:pPr>
        <w:widowControl/>
        <w:ind w:firstLine="600" w:firstLineChars="200"/>
        <w:jc w:val="left"/>
        <w:rPr>
          <w:rFonts w:hint="eastAsia" w:eastAsia="仿宋_GB2312"/>
          <w:kern w:val="0"/>
          <w:sz w:val="30"/>
          <w:szCs w:val="30"/>
        </w:rPr>
      </w:pPr>
      <w:r>
        <w:rPr>
          <w:rFonts w:hint="eastAsia" w:eastAsia="仿宋_GB2312"/>
          <w:kern w:val="0"/>
          <w:sz w:val="30"/>
          <w:szCs w:val="30"/>
        </w:rPr>
        <w:t>按支出经济分类科目分组（其中：基本支出90.75万元，项目支出31.90万元）。</w:t>
      </w:r>
    </w:p>
    <w:p>
      <w:pPr>
        <w:ind w:firstLine="750" w:firstLineChars="250"/>
        <w:rPr>
          <w:rFonts w:ascii="仿宋_GB2312" w:eastAsia="仿宋_GB2312"/>
          <w:sz w:val="30"/>
          <w:szCs w:val="30"/>
        </w:rPr>
      </w:pPr>
      <w:r>
        <w:rPr>
          <w:rFonts w:hint="eastAsia" w:ascii="仿宋_GB2312" w:eastAsia="仿宋_GB2312"/>
          <w:sz w:val="30"/>
          <w:szCs w:val="30"/>
        </w:rPr>
        <w:t>基本支出情况：</w:t>
      </w:r>
    </w:p>
    <w:p>
      <w:pPr>
        <w:ind w:firstLine="600" w:firstLineChars="200"/>
        <w:rPr>
          <w:rFonts w:ascii="仿宋_GB2312" w:eastAsia="仿宋_GB2312"/>
          <w:sz w:val="30"/>
          <w:szCs w:val="30"/>
        </w:rPr>
      </w:pPr>
      <w:r>
        <w:rPr>
          <w:rFonts w:hint="eastAsia" w:ascii="仿宋_GB2312" w:eastAsia="仿宋_GB2312"/>
          <w:sz w:val="30"/>
          <w:szCs w:val="30"/>
        </w:rPr>
        <w:t>2019年用于保障区防震减灾局机构正常运转的日常支出90.75万元，其中：基本工资，津贴补贴等工资福</w:t>
      </w:r>
      <w:r>
        <w:rPr>
          <w:rFonts w:hint="eastAsia" w:ascii="仿宋_GB2312" w:eastAsia="仿宋_GB2312"/>
          <w:sz w:val="32"/>
          <w:szCs w:val="32"/>
        </w:rPr>
        <w:t>利支出为75.04</w:t>
      </w:r>
      <w:r>
        <w:rPr>
          <w:rFonts w:hint="eastAsia" w:ascii="仿宋_GB2312" w:eastAsia="仿宋_GB2312"/>
          <w:sz w:val="30"/>
          <w:szCs w:val="30"/>
        </w:rPr>
        <w:t>万元，占基本支出的82.69％；办公经费、印刷费、水电费、汽燃费、办公设备购置等日常公用经费（商品和服务支出）为11.71万元，占基本支出的17.31％。因人员工资调资及增加养老保险支出，工资福利支出占比较上年增大。2019年基本支出预算90.75万元，人均费用22.69万元，82.73万元，人均费用20.68万元，基本支出与上年对比增加8.02万元，增减变化的原因主要是工资收入调增及年终目标考核奖提高等。</w:t>
      </w:r>
    </w:p>
    <w:p>
      <w:pPr>
        <w:spacing w:line="500" w:lineRule="exact"/>
        <w:ind w:firstLine="600" w:firstLineChars="200"/>
        <w:rPr>
          <w:rFonts w:ascii="仿宋_GB2312" w:eastAsia="仿宋_GB2312"/>
          <w:sz w:val="30"/>
          <w:szCs w:val="30"/>
        </w:rPr>
      </w:pPr>
      <w:r>
        <w:rPr>
          <w:rFonts w:hint="eastAsia" w:ascii="仿宋_GB2312" w:eastAsia="仿宋_GB2312"/>
          <w:sz w:val="30"/>
          <w:szCs w:val="30"/>
        </w:rPr>
        <w:t>项目支出情况：</w:t>
      </w:r>
    </w:p>
    <w:p>
      <w:pPr>
        <w:widowControl/>
        <w:ind w:firstLine="750" w:firstLineChars="250"/>
        <w:jc w:val="left"/>
        <w:rPr>
          <w:rFonts w:eastAsia="仿宋_GB2312"/>
          <w:kern w:val="0"/>
          <w:sz w:val="30"/>
          <w:szCs w:val="30"/>
        </w:rPr>
      </w:pPr>
      <w:r>
        <w:rPr>
          <w:rFonts w:hint="eastAsia" w:ascii="仿宋_GB2312" w:eastAsia="仿宋_GB2312"/>
          <w:sz w:val="30"/>
          <w:szCs w:val="30"/>
        </w:rPr>
        <w:t xml:space="preserve"> </w:t>
      </w:r>
      <w:r>
        <w:rPr>
          <w:rFonts w:hint="eastAsia" w:eastAsia="仿宋_GB2312"/>
          <w:kern w:val="0"/>
          <w:sz w:val="30"/>
          <w:szCs w:val="30"/>
        </w:rPr>
        <w:t>2019年用于保障防震减灾机构为完成特定的行政工作任务或事业发展目标，用于专项业务工作的经费支出31.9万元：其中:1、防震减灾专项工作经费20万元主要用于全区防震减灾工作宣传、培训、队伍建设等工作开展;2、创建科普示范学校经费2万元是对防震减灾科普宣传教育工作成绩显著、成效明显的学校，给予表彰和奖励；3、地震宏观联络员经费9.9万元，主要是地震宏观异常监测、信息报送、防震减灾科普宣传、地震应急培训。比上年预算增加0.9万元，主要是地震宏观联络员人数经费增加。</w:t>
      </w:r>
    </w:p>
    <w:p>
      <w:pPr>
        <w:widowControl/>
        <w:ind w:firstLine="750" w:firstLineChars="250"/>
        <w:jc w:val="left"/>
        <w:rPr>
          <w:rFonts w:eastAsia="仿宋_GB2312"/>
          <w:kern w:val="0"/>
          <w:sz w:val="30"/>
          <w:szCs w:val="30"/>
        </w:rPr>
      </w:pPr>
      <w:r>
        <w:rPr>
          <w:rFonts w:hint="eastAsia" w:eastAsia="仿宋_GB2312"/>
          <w:kern w:val="0"/>
          <w:sz w:val="30"/>
          <w:szCs w:val="30"/>
        </w:rPr>
        <w:t>五、市对下专项转移支付情况</w:t>
      </w:r>
    </w:p>
    <w:p>
      <w:pPr>
        <w:widowControl/>
        <w:ind w:firstLine="480" w:firstLineChars="150"/>
        <w:jc w:val="left"/>
        <w:rPr>
          <w:rFonts w:ascii="仿宋_GB2312" w:eastAsia="仿宋_GB2312"/>
          <w:sz w:val="32"/>
          <w:szCs w:val="32"/>
        </w:rPr>
      </w:pPr>
      <w:r>
        <w:rPr>
          <w:rFonts w:hint="eastAsia" w:ascii="仿宋_GB2312" w:eastAsia="仿宋_GB2312"/>
          <w:sz w:val="32"/>
          <w:szCs w:val="32"/>
        </w:rPr>
        <w:t>（一）列入市对下专项转移支付项目清单项目情况</w:t>
      </w:r>
    </w:p>
    <w:p>
      <w:pPr>
        <w:widowControl/>
        <w:ind w:firstLine="600" w:firstLineChars="200"/>
        <w:jc w:val="left"/>
        <w:rPr>
          <w:rFonts w:eastAsia="仿宋_GB2312"/>
          <w:kern w:val="0"/>
          <w:sz w:val="30"/>
          <w:szCs w:val="30"/>
        </w:rPr>
      </w:pPr>
      <w:r>
        <w:rPr>
          <w:rFonts w:hint="eastAsia" w:eastAsia="仿宋_GB2312"/>
          <w:kern w:val="0"/>
          <w:sz w:val="30"/>
          <w:szCs w:val="30"/>
        </w:rPr>
        <w:t>部门列入市对下专项转移支付项目清单项目为：金额0万元。</w:t>
      </w:r>
    </w:p>
    <w:p>
      <w:pPr>
        <w:widowControl/>
        <w:ind w:firstLine="450" w:firstLineChars="150"/>
        <w:jc w:val="left"/>
        <w:rPr>
          <w:rFonts w:eastAsia="仿宋_GB2312"/>
          <w:kern w:val="0"/>
          <w:sz w:val="30"/>
          <w:szCs w:val="30"/>
        </w:rPr>
      </w:pPr>
      <w:r>
        <w:rPr>
          <w:rFonts w:hint="eastAsia" w:ascii="楷体_GB2312" w:eastAsia="楷体_GB2312"/>
          <w:kern w:val="0"/>
          <w:sz w:val="30"/>
          <w:szCs w:val="30"/>
        </w:rPr>
        <w:t>（二）与中央配套事项</w:t>
      </w:r>
      <w:r>
        <w:rPr>
          <w:rFonts w:hint="eastAsia" w:ascii="楷体_GB2312" w:eastAsia="楷体_GB2312"/>
          <w:kern w:val="0"/>
          <w:sz w:val="30"/>
          <w:szCs w:val="30"/>
          <w:lang w:val="en-US" w:eastAsia="zh-CN"/>
        </w:rPr>
        <w:t xml:space="preserve">  </w:t>
      </w:r>
      <w:r>
        <w:rPr>
          <w:rFonts w:hint="eastAsia" w:eastAsia="仿宋_GB2312"/>
          <w:kern w:val="0"/>
          <w:sz w:val="30"/>
          <w:szCs w:val="30"/>
        </w:rPr>
        <w:t>无。</w:t>
      </w:r>
    </w:p>
    <w:p>
      <w:pPr>
        <w:widowControl/>
        <w:ind w:firstLine="602" w:firstLineChars="200"/>
        <w:jc w:val="left"/>
        <w:rPr>
          <w:rFonts w:eastAsia="仿宋_GB2312"/>
          <w:kern w:val="0"/>
          <w:sz w:val="30"/>
          <w:szCs w:val="30"/>
        </w:rPr>
      </w:pPr>
      <w:r>
        <w:rPr>
          <w:rFonts w:hint="eastAsia" w:eastAsia="仿宋_GB2312"/>
          <w:b/>
          <w:kern w:val="0"/>
          <w:sz w:val="30"/>
          <w:szCs w:val="30"/>
        </w:rPr>
        <w:t>（</w:t>
      </w:r>
      <w:r>
        <w:rPr>
          <w:rFonts w:hint="eastAsia" w:ascii="楷体_GB2312" w:eastAsia="楷体_GB2312"/>
          <w:kern w:val="0"/>
          <w:sz w:val="30"/>
          <w:szCs w:val="30"/>
        </w:rPr>
        <w:t>三）按既定政策标准测算补助事项</w:t>
      </w:r>
      <w:r>
        <w:rPr>
          <w:rFonts w:hint="eastAsia" w:ascii="楷体_GB2312" w:eastAsia="楷体_GB2312"/>
          <w:kern w:val="0"/>
          <w:sz w:val="30"/>
          <w:szCs w:val="30"/>
          <w:lang w:val="en-US" w:eastAsia="zh-CN"/>
        </w:rPr>
        <w:t xml:space="preserve">  </w:t>
      </w:r>
      <w:r>
        <w:rPr>
          <w:rFonts w:hint="eastAsia" w:eastAsia="仿宋_GB2312"/>
          <w:kern w:val="0"/>
          <w:sz w:val="30"/>
          <w:szCs w:val="30"/>
        </w:rPr>
        <w:t>无。</w:t>
      </w:r>
    </w:p>
    <w:p>
      <w:pPr>
        <w:ind w:firstLine="600" w:firstLineChars="200"/>
        <w:rPr>
          <w:rFonts w:ascii="黑体" w:hAnsi="黑体" w:eastAsia="黑体"/>
          <w:sz w:val="30"/>
          <w:szCs w:val="30"/>
        </w:rPr>
      </w:pPr>
      <w:r>
        <w:rPr>
          <w:rFonts w:hint="eastAsia" w:ascii="黑体" w:hAnsi="黑体" w:eastAsia="黑体"/>
          <w:kern w:val="0"/>
          <w:sz w:val="30"/>
          <w:szCs w:val="30"/>
        </w:rPr>
        <w:t>六、</w:t>
      </w:r>
      <w:r>
        <w:rPr>
          <w:rFonts w:hint="eastAsia" w:ascii="黑体" w:hAnsi="黑体" w:eastAsia="黑体"/>
          <w:bCs/>
          <w:sz w:val="30"/>
          <w:szCs w:val="30"/>
        </w:rPr>
        <w:t>“三公”经费安排情况说明</w:t>
      </w:r>
      <w:r>
        <w:rPr>
          <w:rFonts w:ascii="黑体" w:hAnsi="黑体" w:eastAsia="黑体"/>
          <w:bCs/>
          <w:sz w:val="30"/>
          <w:szCs w:val="30"/>
        </w:rPr>
        <w:t xml:space="preserve"> </w:t>
      </w:r>
    </w:p>
    <w:p>
      <w:pPr>
        <w:widowControl/>
        <w:ind w:firstLine="600" w:firstLineChars="200"/>
        <w:jc w:val="left"/>
        <w:rPr>
          <w:rFonts w:eastAsia="仿宋_GB2312"/>
          <w:kern w:val="0"/>
          <w:sz w:val="30"/>
          <w:szCs w:val="30"/>
        </w:rPr>
      </w:pPr>
      <w:r>
        <w:rPr>
          <w:rFonts w:hint="eastAsia" w:eastAsia="仿宋_GB2312"/>
          <w:kern w:val="0"/>
          <w:sz w:val="30"/>
          <w:szCs w:val="30"/>
        </w:rPr>
        <w:t>2019年部门“三公”经费预算3.44万元，比上年预算数减少0.</w:t>
      </w:r>
      <w:r>
        <w:rPr>
          <w:rFonts w:hint="eastAsia" w:eastAsia="仿宋_GB2312"/>
          <w:kern w:val="0"/>
          <w:sz w:val="30"/>
          <w:szCs w:val="30"/>
          <w:lang w:val="en-US" w:eastAsia="zh-CN"/>
        </w:rPr>
        <w:t>1</w:t>
      </w:r>
      <w:r>
        <w:rPr>
          <w:rFonts w:hint="eastAsia" w:eastAsia="仿宋_GB2312"/>
          <w:kern w:val="0"/>
          <w:sz w:val="30"/>
          <w:szCs w:val="30"/>
        </w:rPr>
        <w:t>万元，分别为：</w:t>
      </w:r>
      <w:r>
        <w:rPr>
          <w:rFonts w:eastAsia="仿宋_GB2312"/>
          <w:kern w:val="0"/>
          <w:sz w:val="30"/>
          <w:szCs w:val="30"/>
        </w:rPr>
        <w:t>1.</w:t>
      </w:r>
      <w:r>
        <w:rPr>
          <w:rFonts w:hint="eastAsia" w:eastAsia="仿宋_GB2312"/>
          <w:kern w:val="0"/>
          <w:sz w:val="30"/>
          <w:szCs w:val="30"/>
        </w:rPr>
        <w:t>因公出国（境）费0万元，比上年预算数增加（减少）0万元；</w:t>
      </w:r>
      <w:r>
        <w:rPr>
          <w:rFonts w:eastAsia="仿宋_GB2312"/>
          <w:kern w:val="0"/>
          <w:sz w:val="30"/>
          <w:szCs w:val="30"/>
        </w:rPr>
        <w:t>2.</w:t>
      </w:r>
      <w:r>
        <w:rPr>
          <w:rFonts w:hint="eastAsia" w:eastAsia="仿宋_GB2312"/>
          <w:kern w:val="0"/>
          <w:sz w:val="30"/>
          <w:szCs w:val="30"/>
        </w:rPr>
        <w:t>公务接待费0.9万元，比上年预算数减少0.1万元；</w:t>
      </w:r>
      <w:r>
        <w:rPr>
          <w:rFonts w:eastAsia="仿宋_GB2312"/>
          <w:kern w:val="0"/>
          <w:sz w:val="30"/>
          <w:szCs w:val="30"/>
        </w:rPr>
        <w:t>3.</w:t>
      </w:r>
      <w:r>
        <w:rPr>
          <w:rFonts w:hint="eastAsia" w:eastAsia="仿宋_GB2312"/>
          <w:kern w:val="0"/>
          <w:sz w:val="30"/>
          <w:szCs w:val="30"/>
        </w:rPr>
        <w:t>公务用车购置及运行费2.54万元，其中：公务用车购置0万元，比上年预算数增加（减少）0万元；公务用车运行费2.54万元，比上年预算数增加（减少）0万元。</w:t>
      </w:r>
    </w:p>
    <w:p>
      <w:pPr>
        <w:widowControl/>
        <w:ind w:firstLine="600" w:firstLineChars="200"/>
        <w:jc w:val="left"/>
        <w:rPr>
          <w:rFonts w:eastAsia="仿宋_GB2312"/>
          <w:kern w:val="0"/>
          <w:sz w:val="30"/>
          <w:szCs w:val="30"/>
        </w:rPr>
      </w:pPr>
      <w:r>
        <w:rPr>
          <w:rFonts w:hint="eastAsia" w:eastAsia="仿宋_GB2312"/>
          <w:kern w:val="0"/>
          <w:sz w:val="30"/>
          <w:szCs w:val="30"/>
        </w:rPr>
        <w:t>“三公”经费减少的原因主要是</w:t>
      </w:r>
      <w:r>
        <w:rPr>
          <w:rFonts w:eastAsia="仿宋_GB2312"/>
          <w:kern w:val="0"/>
          <w:sz w:val="30"/>
          <w:szCs w:val="30"/>
        </w:rPr>
        <w:t>:</w:t>
      </w:r>
    </w:p>
    <w:p>
      <w:pPr>
        <w:ind w:firstLine="602" w:firstLineChars="200"/>
        <w:rPr>
          <w:rFonts w:eastAsia="仿宋_GB2312"/>
          <w:sz w:val="30"/>
          <w:szCs w:val="30"/>
        </w:rPr>
      </w:pPr>
      <w:r>
        <w:rPr>
          <w:rFonts w:eastAsia="仿宋_GB2312"/>
          <w:b/>
          <w:bCs/>
          <w:sz w:val="30"/>
          <w:szCs w:val="30"/>
        </w:rPr>
        <w:t>“</w:t>
      </w:r>
      <w:r>
        <w:rPr>
          <w:rFonts w:hint="eastAsia" w:eastAsia="仿宋_GB2312"/>
          <w:kern w:val="0"/>
          <w:sz w:val="30"/>
          <w:szCs w:val="30"/>
        </w:rPr>
        <w:t>三公</w:t>
      </w:r>
      <w:r>
        <w:rPr>
          <w:rFonts w:eastAsia="仿宋_GB2312"/>
          <w:kern w:val="0"/>
          <w:sz w:val="30"/>
          <w:szCs w:val="30"/>
        </w:rPr>
        <w:t>”</w:t>
      </w:r>
      <w:r>
        <w:rPr>
          <w:rFonts w:hint="eastAsia" w:eastAsia="仿宋_GB2312"/>
          <w:kern w:val="0"/>
          <w:sz w:val="30"/>
          <w:szCs w:val="30"/>
        </w:rPr>
        <w:t>经费减少的原因主要是公务接待费减少0.1万元。主要是</w:t>
      </w:r>
      <w:r>
        <w:rPr>
          <w:rFonts w:hint="eastAsia" w:eastAsia="仿宋_GB2312"/>
          <w:sz w:val="30"/>
          <w:szCs w:val="30"/>
        </w:rPr>
        <w:t>在申报“三公”经费预算时，我单位在实际工作中会严格执行厉行节约规定，公务接待费较上年略有减少，争取控合理范围内。</w:t>
      </w:r>
      <w:r>
        <w:rPr>
          <w:rFonts w:eastAsia="仿宋_GB2312"/>
          <w:b/>
          <w:bCs/>
          <w:sz w:val="30"/>
          <w:szCs w:val="30"/>
        </w:rPr>
        <w:t xml:space="preserve"> </w:t>
      </w:r>
      <w:r>
        <w:rPr>
          <w:rFonts w:eastAsia="仿宋_GB2312"/>
          <w:sz w:val="30"/>
          <w:szCs w:val="30"/>
        </w:rPr>
        <w:t xml:space="preserve"> </w:t>
      </w:r>
    </w:p>
    <w:p>
      <w:pPr>
        <w:widowControl/>
        <w:ind w:firstLine="600" w:firstLineChars="200"/>
        <w:jc w:val="left"/>
        <w:rPr>
          <w:rFonts w:ascii="黑体" w:hAnsi="黑体" w:eastAsia="黑体"/>
          <w:kern w:val="0"/>
          <w:sz w:val="30"/>
          <w:szCs w:val="30"/>
        </w:rPr>
      </w:pPr>
      <w:r>
        <w:rPr>
          <w:rFonts w:hint="eastAsia" w:ascii="黑体" w:hAnsi="黑体" w:eastAsia="黑体"/>
          <w:kern w:val="0"/>
          <w:sz w:val="30"/>
          <w:szCs w:val="30"/>
        </w:rPr>
        <w:t>七、政府采购预算情况</w:t>
      </w:r>
    </w:p>
    <w:p>
      <w:pPr>
        <w:widowControl/>
        <w:ind w:firstLine="600" w:firstLineChars="200"/>
        <w:jc w:val="left"/>
        <w:rPr>
          <w:rFonts w:eastAsia="仿宋_GB2312"/>
          <w:kern w:val="0"/>
          <w:sz w:val="30"/>
          <w:szCs w:val="30"/>
        </w:rPr>
      </w:pPr>
      <w:r>
        <w:rPr>
          <w:rFonts w:hint="eastAsia" w:eastAsia="仿宋_GB2312"/>
          <w:kern w:val="0"/>
          <w:sz w:val="30"/>
          <w:szCs w:val="30"/>
        </w:rPr>
        <w:t>根据《中华人民共和国政府采购法》的有关规定，编制了政府采购预算，共涉及采购项目0个，采购预算资0万元。</w:t>
      </w:r>
    </w:p>
    <w:p>
      <w:pPr>
        <w:widowControl/>
        <w:ind w:firstLine="600" w:firstLineChars="200"/>
        <w:jc w:val="left"/>
        <w:rPr>
          <w:rFonts w:eastAsia="仿宋_GB2312"/>
          <w:kern w:val="0"/>
          <w:sz w:val="30"/>
          <w:szCs w:val="30"/>
        </w:rPr>
      </w:pPr>
      <w:r>
        <w:rPr>
          <w:rFonts w:eastAsia="仿宋_GB2312"/>
          <w:kern w:val="0"/>
          <w:sz w:val="30"/>
          <w:szCs w:val="30"/>
        </w:rPr>
        <w:t>2019</w:t>
      </w:r>
      <w:r>
        <w:rPr>
          <w:rFonts w:hint="eastAsia" w:eastAsia="仿宋_GB2312"/>
          <w:kern w:val="0"/>
          <w:sz w:val="30"/>
          <w:szCs w:val="30"/>
        </w:rPr>
        <w:t>年昆明市呈贡区防震减灾局无政府采购预算。</w:t>
      </w:r>
    </w:p>
    <w:p>
      <w:pPr>
        <w:widowControl/>
        <w:ind w:firstLine="600" w:firstLineChars="200"/>
        <w:jc w:val="left"/>
        <w:rPr>
          <w:rFonts w:ascii="黑体" w:hAnsi="黑体" w:eastAsia="黑体"/>
          <w:kern w:val="0"/>
          <w:sz w:val="30"/>
          <w:szCs w:val="30"/>
        </w:rPr>
      </w:pPr>
      <w:r>
        <w:rPr>
          <w:rFonts w:hint="eastAsia" w:ascii="黑体" w:hAnsi="黑体" w:eastAsia="黑体"/>
          <w:kern w:val="0"/>
          <w:sz w:val="30"/>
          <w:szCs w:val="30"/>
        </w:rPr>
        <w:t>八、预算收支增减变化情况说明</w:t>
      </w:r>
    </w:p>
    <w:p>
      <w:pPr>
        <w:widowControl/>
        <w:ind w:firstLine="600" w:firstLineChars="200"/>
        <w:jc w:val="left"/>
        <w:rPr>
          <w:rFonts w:ascii="黑体" w:hAnsi="黑体" w:eastAsia="黑体"/>
          <w:kern w:val="0"/>
          <w:sz w:val="30"/>
          <w:szCs w:val="30"/>
        </w:rPr>
      </w:pPr>
      <w:r>
        <w:rPr>
          <w:rFonts w:hint="eastAsia" w:ascii="黑体" w:hAnsi="黑体" w:eastAsia="黑体"/>
          <w:kern w:val="0"/>
          <w:sz w:val="30"/>
          <w:szCs w:val="30"/>
        </w:rPr>
        <w:t>（一）基本支出预算变动的主要原因</w:t>
      </w:r>
    </w:p>
    <w:p>
      <w:pPr>
        <w:widowControl/>
        <w:ind w:firstLine="600" w:firstLineChars="200"/>
        <w:jc w:val="left"/>
        <w:rPr>
          <w:rFonts w:eastAsia="仿宋_GB2312"/>
          <w:kern w:val="0"/>
          <w:sz w:val="30"/>
          <w:szCs w:val="30"/>
        </w:rPr>
      </w:pPr>
      <w:r>
        <w:rPr>
          <w:rFonts w:hint="eastAsia" w:eastAsia="仿宋_GB2312"/>
          <w:kern w:val="0"/>
          <w:sz w:val="30"/>
          <w:szCs w:val="30"/>
        </w:rPr>
        <w:t>2019年本级财力安排昆明市呈贡区防震减灾局基本支出90.75万元，与上年对比增加8.02万元，增减变化的原因主要是：</w:t>
      </w:r>
      <w:r>
        <w:rPr>
          <w:rFonts w:hint="eastAsia" w:ascii="仿宋_GB2312" w:eastAsia="仿宋_GB2312"/>
          <w:kern w:val="0"/>
          <w:sz w:val="30"/>
          <w:szCs w:val="30"/>
        </w:rPr>
        <w:t>工资</w:t>
      </w:r>
      <w:r>
        <w:rPr>
          <w:rFonts w:hint="eastAsia" w:ascii="仿宋_GB2312" w:eastAsia="仿宋_GB2312"/>
          <w:kern w:val="0"/>
          <w:sz w:val="30"/>
          <w:szCs w:val="30"/>
          <w:lang w:val="en-US" w:eastAsia="zh-CN"/>
        </w:rPr>
        <w:t>调标</w:t>
      </w:r>
      <w:bookmarkStart w:id="0" w:name="_GoBack"/>
      <w:bookmarkEnd w:id="0"/>
      <w:r>
        <w:rPr>
          <w:rFonts w:hint="eastAsia" w:ascii="仿宋_GB2312" w:eastAsia="仿宋_GB2312"/>
          <w:kern w:val="0"/>
          <w:sz w:val="30"/>
          <w:szCs w:val="30"/>
        </w:rPr>
        <w:t>增加。</w:t>
      </w:r>
    </w:p>
    <w:p>
      <w:pPr>
        <w:widowControl/>
        <w:ind w:firstLine="600" w:firstLineChars="200"/>
        <w:jc w:val="left"/>
        <w:rPr>
          <w:rFonts w:ascii="仿宋_GB2312" w:eastAsia="仿宋_GB2312"/>
          <w:kern w:val="0"/>
          <w:sz w:val="30"/>
          <w:szCs w:val="30"/>
        </w:rPr>
      </w:pPr>
      <w:r>
        <w:rPr>
          <w:rFonts w:hint="eastAsia" w:ascii="楷体" w:hAnsi="楷体" w:eastAsia="楷体"/>
          <w:kern w:val="0"/>
          <w:sz w:val="30"/>
          <w:szCs w:val="30"/>
        </w:rPr>
        <w:t>（</w:t>
      </w:r>
      <w:r>
        <w:rPr>
          <w:rFonts w:hint="eastAsia" w:ascii="仿宋_GB2312" w:eastAsia="仿宋_GB2312"/>
          <w:kern w:val="0"/>
          <w:sz w:val="30"/>
          <w:szCs w:val="30"/>
        </w:rPr>
        <w:t>二）项目支出预算变动的主要原因</w:t>
      </w:r>
    </w:p>
    <w:p>
      <w:pPr>
        <w:widowControl/>
        <w:ind w:firstLine="600" w:firstLineChars="200"/>
        <w:jc w:val="left"/>
        <w:rPr>
          <w:rFonts w:eastAsia="仿宋_GB2312"/>
          <w:kern w:val="0"/>
          <w:sz w:val="30"/>
          <w:szCs w:val="30"/>
        </w:rPr>
      </w:pPr>
      <w:r>
        <w:rPr>
          <w:rFonts w:hint="eastAsia" w:eastAsia="仿宋_GB2312"/>
          <w:kern w:val="0"/>
          <w:sz w:val="30"/>
          <w:szCs w:val="30"/>
        </w:rPr>
        <w:t>2019年本级财力安排昆明市呈贡区防震减灾局项目支出31.9万元，与上年对比增加0.90万元，增减变化的原因主要是：</w:t>
      </w:r>
    </w:p>
    <w:p>
      <w:pPr>
        <w:widowControl/>
        <w:jc w:val="left"/>
        <w:rPr>
          <w:rFonts w:eastAsia="仿宋_GB2312"/>
          <w:kern w:val="0"/>
          <w:sz w:val="30"/>
          <w:szCs w:val="30"/>
        </w:rPr>
      </w:pPr>
      <w:r>
        <w:rPr>
          <w:rFonts w:hint="eastAsia" w:eastAsia="仿宋_GB2312"/>
          <w:kern w:val="0"/>
          <w:sz w:val="30"/>
          <w:szCs w:val="30"/>
        </w:rPr>
        <w:t>宏观联络员人数增加，工资相应增加。</w:t>
      </w:r>
    </w:p>
    <w:p>
      <w:pPr>
        <w:widowControl/>
        <w:ind w:firstLine="600" w:firstLineChars="200"/>
        <w:jc w:val="left"/>
        <w:rPr>
          <w:rFonts w:eastAsia="仿宋_GB2312"/>
          <w:kern w:val="0"/>
          <w:sz w:val="30"/>
          <w:szCs w:val="30"/>
        </w:rPr>
      </w:pPr>
      <w:r>
        <w:rPr>
          <w:rFonts w:hint="eastAsia" w:eastAsia="仿宋_GB2312"/>
          <w:kern w:val="0"/>
          <w:sz w:val="30"/>
          <w:szCs w:val="30"/>
        </w:rPr>
        <w:t>九、其他公开信息</w:t>
      </w:r>
    </w:p>
    <w:p>
      <w:pPr>
        <w:widowControl/>
        <w:ind w:firstLine="600" w:firstLineChars="200"/>
        <w:jc w:val="left"/>
        <w:rPr>
          <w:rFonts w:ascii="楷体_GB2312" w:eastAsia="楷体_GB2312"/>
          <w:kern w:val="0"/>
          <w:sz w:val="30"/>
          <w:szCs w:val="30"/>
        </w:rPr>
      </w:pPr>
      <w:r>
        <w:rPr>
          <w:rFonts w:hint="eastAsia" w:ascii="楷体_GB2312" w:eastAsia="楷体_GB2312"/>
          <w:kern w:val="0"/>
          <w:sz w:val="30"/>
          <w:szCs w:val="30"/>
        </w:rPr>
        <w:t>（一）专业名词解释</w:t>
      </w:r>
    </w:p>
    <w:p>
      <w:pPr>
        <w:widowControl/>
        <w:ind w:firstLine="600" w:firstLineChars="200"/>
        <w:jc w:val="left"/>
        <w:rPr>
          <w:rFonts w:eastAsia="仿宋_GB2312"/>
          <w:b/>
          <w:kern w:val="0"/>
          <w:sz w:val="30"/>
          <w:szCs w:val="30"/>
        </w:rPr>
      </w:pPr>
      <w:r>
        <w:rPr>
          <w:rFonts w:hint="eastAsia" w:eastAsia="仿宋_GB2312"/>
          <w:kern w:val="0"/>
          <w:sz w:val="30"/>
          <w:szCs w:val="30"/>
        </w:rPr>
        <w:t>“三公”经费包括因公出国（境）费、公务用车购置及运行费和公务接待费。（</w:t>
      </w:r>
      <w:r>
        <w:rPr>
          <w:rFonts w:eastAsia="仿宋_GB2312"/>
          <w:kern w:val="0"/>
          <w:sz w:val="30"/>
          <w:szCs w:val="30"/>
        </w:rPr>
        <w:t>1</w:t>
      </w:r>
      <w:r>
        <w:rPr>
          <w:rFonts w:hint="eastAsia" w:eastAsia="仿宋_GB2312"/>
          <w:kern w:val="0"/>
          <w:sz w:val="30"/>
          <w:szCs w:val="30"/>
        </w:rPr>
        <w:t>）因公出国（境）费，指单位工作人员公务出国（境）的住宿费、旅费、伙食补助费、杂费、培训费等支出。（</w:t>
      </w:r>
      <w:r>
        <w:rPr>
          <w:rFonts w:eastAsia="仿宋_GB2312"/>
          <w:kern w:val="0"/>
          <w:sz w:val="30"/>
          <w:szCs w:val="30"/>
        </w:rPr>
        <w:t>2</w:t>
      </w:r>
      <w:r>
        <w:rPr>
          <w:rFonts w:hint="eastAsia" w:eastAsia="仿宋_GB2312"/>
          <w:kern w:val="0"/>
          <w:sz w:val="30"/>
          <w:szCs w:val="30"/>
        </w:rPr>
        <w:t>）公务用车购置及运行费，指单位公务用车购置费及租用费、燃料费、维修费、过路过桥费、保险费、安全奖励费用等支出，公务用车指用于履行公务的机动车辆，包括领导干部专车、一般公务用车和执法执勤用车。（</w:t>
      </w:r>
      <w:r>
        <w:rPr>
          <w:rFonts w:eastAsia="仿宋_GB2312"/>
          <w:kern w:val="0"/>
          <w:sz w:val="30"/>
          <w:szCs w:val="30"/>
        </w:rPr>
        <w:t>3</w:t>
      </w:r>
      <w:r>
        <w:rPr>
          <w:rFonts w:hint="eastAsia" w:eastAsia="仿宋_GB2312"/>
          <w:kern w:val="0"/>
          <w:sz w:val="30"/>
          <w:szCs w:val="30"/>
        </w:rPr>
        <w:t>）公务接待费，指单位按规定开支的各类公务接待（含外宾接待）支出。</w:t>
      </w:r>
    </w:p>
    <w:p>
      <w:pPr>
        <w:widowControl/>
        <w:ind w:firstLine="600" w:firstLineChars="200"/>
        <w:jc w:val="left"/>
        <w:rPr>
          <w:rFonts w:ascii="楷体_GB2312" w:eastAsia="楷体_GB2312"/>
          <w:kern w:val="0"/>
          <w:sz w:val="30"/>
          <w:szCs w:val="30"/>
        </w:rPr>
      </w:pPr>
      <w:r>
        <w:rPr>
          <w:rFonts w:hint="eastAsia" w:ascii="楷体_GB2312" w:eastAsia="楷体_GB2312"/>
          <w:kern w:val="0"/>
          <w:sz w:val="30"/>
          <w:szCs w:val="30"/>
        </w:rPr>
        <w:t>（二）机关运行经费安排</w:t>
      </w:r>
    </w:p>
    <w:p>
      <w:pPr>
        <w:widowControl/>
        <w:ind w:firstLine="600" w:firstLineChars="200"/>
        <w:jc w:val="left"/>
        <w:rPr>
          <w:rFonts w:eastAsia="仿宋_GB2312"/>
          <w:b/>
          <w:kern w:val="0"/>
          <w:sz w:val="30"/>
          <w:szCs w:val="30"/>
        </w:rPr>
      </w:pPr>
      <w:r>
        <w:rPr>
          <w:rFonts w:hint="eastAsia" w:eastAsia="仿宋_GB2312"/>
          <w:kern w:val="0"/>
          <w:sz w:val="30"/>
          <w:szCs w:val="30"/>
        </w:rPr>
        <w:t>2019年本级财力安排呈贡区建设工程项目招标投标办公室运行经费11.71万元，主要用于办公经费、印刷费、水电费、汽燃费、办公设备购置等日常开支，以保证机构正常运转。</w:t>
      </w:r>
    </w:p>
    <w:p>
      <w:pPr>
        <w:widowControl/>
        <w:ind w:firstLine="600" w:firstLineChars="200"/>
        <w:jc w:val="left"/>
        <w:rPr>
          <w:rFonts w:ascii="楷体_GB2312" w:eastAsia="楷体_GB2312"/>
          <w:kern w:val="0"/>
          <w:sz w:val="30"/>
          <w:szCs w:val="30"/>
        </w:rPr>
      </w:pPr>
      <w:r>
        <w:rPr>
          <w:rFonts w:hint="eastAsia" w:ascii="楷体_GB2312" w:eastAsia="楷体_GB2312"/>
          <w:kern w:val="0"/>
          <w:sz w:val="30"/>
          <w:szCs w:val="30"/>
        </w:rPr>
        <w:t>（三）国有资产占用情况</w:t>
      </w:r>
    </w:p>
    <w:p>
      <w:pPr>
        <w:widowControl/>
        <w:ind w:firstLine="600" w:firstLineChars="200"/>
        <w:jc w:val="left"/>
        <w:rPr>
          <w:rFonts w:eastAsia="仿宋_GB2312"/>
          <w:color w:val="000000"/>
          <w:kern w:val="0"/>
          <w:sz w:val="30"/>
          <w:szCs w:val="30"/>
        </w:rPr>
      </w:pPr>
      <w:r>
        <w:rPr>
          <w:rFonts w:hint="eastAsia" w:eastAsia="仿宋_GB2312"/>
          <w:color w:val="000000"/>
          <w:kern w:val="0"/>
          <w:sz w:val="30"/>
          <w:szCs w:val="30"/>
        </w:rPr>
        <w:t>截至2018年</w:t>
      </w:r>
      <w:r>
        <w:rPr>
          <w:rFonts w:eastAsia="仿宋_GB2312"/>
          <w:color w:val="000000"/>
          <w:kern w:val="0"/>
          <w:sz w:val="30"/>
          <w:szCs w:val="30"/>
        </w:rPr>
        <w:t>12</w:t>
      </w:r>
      <w:r>
        <w:rPr>
          <w:rFonts w:hint="eastAsia" w:eastAsia="仿宋_GB2312"/>
          <w:color w:val="000000"/>
          <w:kern w:val="0"/>
          <w:sz w:val="30"/>
          <w:szCs w:val="30"/>
        </w:rPr>
        <w:t>月</w:t>
      </w:r>
      <w:r>
        <w:rPr>
          <w:rFonts w:eastAsia="仿宋_GB2312"/>
          <w:color w:val="000000"/>
          <w:kern w:val="0"/>
          <w:sz w:val="30"/>
          <w:szCs w:val="30"/>
        </w:rPr>
        <w:t>31</w:t>
      </w:r>
      <w:r>
        <w:rPr>
          <w:rFonts w:hint="eastAsia" w:eastAsia="仿宋_GB2312"/>
          <w:color w:val="000000"/>
          <w:kern w:val="0"/>
          <w:sz w:val="30"/>
          <w:szCs w:val="30"/>
        </w:rPr>
        <w:t>日的国有资产占有使用情况如下：</w:t>
      </w:r>
    </w:p>
    <w:p>
      <w:pPr>
        <w:widowControl/>
        <w:ind w:firstLine="600" w:firstLineChars="200"/>
        <w:jc w:val="left"/>
        <w:rPr>
          <w:rFonts w:hint="eastAsia" w:eastAsia="仿宋_GB2312"/>
          <w:color w:val="000000"/>
          <w:kern w:val="0"/>
          <w:sz w:val="30"/>
          <w:szCs w:val="30"/>
        </w:rPr>
      </w:pPr>
      <w:r>
        <w:rPr>
          <w:rFonts w:hint="eastAsia" w:eastAsia="仿宋_GB2312"/>
          <w:color w:val="000000"/>
          <w:kern w:val="0"/>
          <w:sz w:val="30"/>
          <w:szCs w:val="30"/>
        </w:rPr>
        <w:t>资产总额58.41万元，其中流动资产57.93万元。</w:t>
      </w:r>
    </w:p>
    <w:p>
      <w:pPr>
        <w:widowControl/>
        <w:ind w:firstLine="600" w:firstLineChars="200"/>
        <w:jc w:val="left"/>
        <w:rPr>
          <w:rFonts w:hint="eastAsia" w:eastAsia="仿宋_GB2312"/>
          <w:color w:val="000000"/>
          <w:kern w:val="0"/>
          <w:sz w:val="30"/>
          <w:szCs w:val="30"/>
        </w:rPr>
      </w:pPr>
      <w:r>
        <w:rPr>
          <w:rFonts w:hint="eastAsia" w:eastAsia="仿宋_GB2312"/>
          <w:kern w:val="0"/>
          <w:sz w:val="30"/>
          <w:szCs w:val="30"/>
        </w:rPr>
        <w:t>鉴于上述数据为快报数，相关数据待</w:t>
      </w:r>
      <w:r>
        <w:rPr>
          <w:rFonts w:eastAsia="仿宋_GB2312"/>
          <w:kern w:val="0"/>
          <w:sz w:val="30"/>
          <w:szCs w:val="30"/>
        </w:rPr>
        <w:t>2018</w:t>
      </w:r>
      <w:r>
        <w:rPr>
          <w:rFonts w:hint="eastAsia" w:eastAsia="仿宋_GB2312"/>
          <w:kern w:val="0"/>
          <w:sz w:val="30"/>
          <w:szCs w:val="30"/>
        </w:rPr>
        <w:t>年决算编制后才能统计汇总，届时，将在公开</w:t>
      </w:r>
      <w:r>
        <w:rPr>
          <w:rFonts w:eastAsia="仿宋_GB2312"/>
          <w:kern w:val="0"/>
          <w:sz w:val="30"/>
          <w:szCs w:val="30"/>
        </w:rPr>
        <w:t>2018</w:t>
      </w:r>
      <w:r>
        <w:rPr>
          <w:rFonts w:hint="eastAsia" w:eastAsia="仿宋_GB2312"/>
          <w:kern w:val="0"/>
          <w:sz w:val="30"/>
          <w:szCs w:val="30"/>
        </w:rPr>
        <w:t>年度部门决算时一并公开部门截至</w:t>
      </w:r>
      <w:r>
        <w:rPr>
          <w:rFonts w:eastAsia="仿宋_GB2312"/>
          <w:kern w:val="0"/>
          <w:sz w:val="30"/>
          <w:szCs w:val="30"/>
        </w:rPr>
        <w:t>2018</w:t>
      </w:r>
      <w:r>
        <w:rPr>
          <w:rFonts w:hint="eastAsia" w:eastAsia="仿宋_GB2312"/>
          <w:kern w:val="0"/>
          <w:sz w:val="30"/>
          <w:szCs w:val="30"/>
        </w:rPr>
        <w:t>年</w:t>
      </w:r>
      <w:r>
        <w:rPr>
          <w:rFonts w:eastAsia="仿宋_GB2312"/>
          <w:kern w:val="0"/>
          <w:sz w:val="30"/>
          <w:szCs w:val="30"/>
        </w:rPr>
        <w:t>12</w:t>
      </w:r>
      <w:r>
        <w:rPr>
          <w:rFonts w:hint="eastAsia" w:eastAsia="仿宋_GB2312"/>
          <w:kern w:val="0"/>
          <w:sz w:val="30"/>
          <w:szCs w:val="30"/>
        </w:rPr>
        <w:t>月</w:t>
      </w:r>
      <w:r>
        <w:rPr>
          <w:rFonts w:eastAsia="仿宋_GB2312"/>
          <w:kern w:val="0"/>
          <w:sz w:val="30"/>
          <w:szCs w:val="30"/>
        </w:rPr>
        <w:t>31</w:t>
      </w:r>
      <w:r>
        <w:rPr>
          <w:rFonts w:hint="eastAsia" w:eastAsia="仿宋_GB2312"/>
          <w:kern w:val="0"/>
          <w:sz w:val="30"/>
          <w:szCs w:val="30"/>
        </w:rPr>
        <w:t>日的国有资产占有使用情况。</w:t>
      </w:r>
    </w:p>
    <w:p>
      <w:pPr>
        <w:widowControl/>
        <w:ind w:firstLine="600" w:firstLineChars="200"/>
        <w:jc w:val="left"/>
        <w:rPr>
          <w:rFonts w:ascii="楷体_GB2312" w:eastAsia="楷体_GB2312"/>
          <w:kern w:val="0"/>
          <w:sz w:val="30"/>
          <w:szCs w:val="30"/>
        </w:rPr>
      </w:pPr>
      <w:r>
        <w:rPr>
          <w:rFonts w:hint="eastAsia" w:ascii="楷体_GB2312" w:eastAsia="楷体_GB2312"/>
          <w:kern w:val="0"/>
          <w:sz w:val="30"/>
          <w:szCs w:val="30"/>
        </w:rPr>
        <w:t>（四）本部门整体支出预算绩效情况说明</w:t>
      </w:r>
    </w:p>
    <w:p>
      <w:pPr>
        <w:widowControl/>
        <w:ind w:firstLine="600"/>
        <w:jc w:val="left"/>
        <w:rPr>
          <w:rFonts w:eastAsia="仿宋_GB2312"/>
          <w:kern w:val="0"/>
          <w:sz w:val="30"/>
          <w:szCs w:val="30"/>
        </w:rPr>
      </w:pPr>
      <w:r>
        <w:rPr>
          <w:rFonts w:hint="eastAsia" w:ascii="楷体_GB2312" w:eastAsia="楷体_GB2312"/>
          <w:kern w:val="0"/>
          <w:sz w:val="30"/>
          <w:szCs w:val="30"/>
        </w:rPr>
        <w:t>有力推进我区防震减灾工作；完成2019年市政府下达我区防震减灾专项工作；科普示范学校创建；地震应急避难场所完善与管理；地震安全示范小区创建；宏观联络员培训、管理等。</w:t>
      </w:r>
      <w:r>
        <w:rPr>
          <w:rFonts w:hint="eastAsia" w:eastAsia="仿宋_GB2312"/>
          <w:kern w:val="0"/>
          <w:sz w:val="30"/>
          <w:szCs w:val="30"/>
        </w:rPr>
        <w:t>详见整体支出预算绩效目标表。</w:t>
      </w:r>
    </w:p>
    <w:p>
      <w:pPr>
        <w:widowControl/>
        <w:ind w:firstLine="600" w:firstLineChars="200"/>
        <w:jc w:val="left"/>
        <w:rPr>
          <w:rFonts w:ascii="楷体_GB2312" w:eastAsia="楷体_GB2312"/>
          <w:kern w:val="0"/>
          <w:sz w:val="30"/>
          <w:szCs w:val="30"/>
        </w:rPr>
      </w:pPr>
      <w:r>
        <w:rPr>
          <w:rFonts w:hint="eastAsia" w:ascii="楷体_GB2312" w:eastAsia="楷体_GB2312"/>
          <w:kern w:val="0"/>
          <w:sz w:val="30"/>
          <w:szCs w:val="30"/>
        </w:rPr>
        <w:t>（五）本部门项目支出绩效情况说明</w:t>
      </w:r>
    </w:p>
    <w:p>
      <w:pPr>
        <w:widowControl/>
        <w:ind w:firstLine="600"/>
        <w:jc w:val="left"/>
        <w:rPr>
          <w:rFonts w:eastAsia="仿宋_GB2312"/>
          <w:kern w:val="0"/>
          <w:sz w:val="30"/>
          <w:szCs w:val="30"/>
        </w:rPr>
      </w:pPr>
      <w:r>
        <w:rPr>
          <w:rFonts w:hint="eastAsia" w:ascii="楷体_GB2312" w:eastAsia="楷体_GB2312"/>
          <w:kern w:val="0"/>
          <w:sz w:val="30"/>
          <w:szCs w:val="30"/>
        </w:rPr>
        <w:t>对辖区</w:t>
      </w:r>
      <w:r>
        <w:rPr>
          <w:rFonts w:hint="eastAsia" w:ascii="楷体_GB2312" w:eastAsia="楷体_GB2312"/>
          <w:kern w:val="0"/>
          <w:sz w:val="30"/>
          <w:szCs w:val="30"/>
          <w:lang w:val="en-US" w:eastAsia="zh-CN"/>
        </w:rPr>
        <w:t>内防震减灾科普知识宣传；地震安全示范社区创建；科普示范学校申报；志愿者队伍建设等工作开展，加强群测群防工作,切实提高城乡建筑物抗震能力,推进地震应急救援能力建设,进一步健全完善政策保障措施</w:t>
      </w:r>
      <w:r>
        <w:rPr>
          <w:rFonts w:hint="eastAsia" w:ascii="楷体_GB2312" w:eastAsia="楷体_GB2312"/>
          <w:kern w:val="0"/>
          <w:sz w:val="30"/>
          <w:szCs w:val="30"/>
        </w:rPr>
        <w:t>。</w:t>
      </w:r>
      <w:r>
        <w:rPr>
          <w:rFonts w:hint="eastAsia" w:eastAsia="仿宋_GB2312"/>
          <w:kern w:val="0"/>
          <w:sz w:val="30"/>
          <w:szCs w:val="30"/>
        </w:rPr>
        <w:t>详见项目支出预算绩效目标表。</w:t>
      </w:r>
    </w:p>
    <w:p>
      <w:pPr>
        <w:widowControl/>
        <w:ind w:firstLine="600" w:firstLineChars="200"/>
        <w:jc w:val="left"/>
        <w:rPr>
          <w:rFonts w:eastAsia="仿宋_GB2312"/>
          <w:kern w:val="0"/>
          <w:sz w:val="30"/>
          <w:szCs w:val="30"/>
        </w:rPr>
      </w:pPr>
    </w:p>
    <w:p>
      <w:pPr>
        <w:widowControl/>
        <w:ind w:firstLine="600" w:firstLineChars="200"/>
        <w:jc w:val="left"/>
        <w:rPr>
          <w:rFonts w:ascii="楷体_GB2312" w:eastAsia="楷体_GB2312"/>
          <w:kern w:val="0"/>
          <w:sz w:val="30"/>
          <w:szCs w:val="30"/>
        </w:rPr>
      </w:pPr>
    </w:p>
    <w:p/>
    <w:sectPr>
      <w:headerReference r:id="rId3" w:type="default"/>
      <w:headerReference r:id="rId4" w:type="even"/>
      <w:pgSz w:w="11906" w:h="16838"/>
      <w:pgMar w:top="1247" w:right="1797" w:bottom="1247"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微软雅黑"/>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A2CF8"/>
    <w:multiLevelType w:val="multilevel"/>
    <w:tmpl w:val="1FCA2CF8"/>
    <w:lvl w:ilvl="0" w:tentative="0">
      <w:start w:val="1"/>
      <w:numFmt w:val="japaneseCounting"/>
      <w:lvlText w:val="（%1）"/>
      <w:lvlJc w:val="left"/>
      <w:pPr>
        <w:ind w:left="1530" w:hanging="1080"/>
      </w:pPr>
      <w:rPr>
        <w:rFonts w:hint="default"/>
      </w:rPr>
    </w:lvl>
    <w:lvl w:ilvl="1" w:tentative="0">
      <w:start w:val="1"/>
      <w:numFmt w:val="lowerLetter"/>
      <w:lvlText w:val="%2)"/>
      <w:lvlJc w:val="left"/>
      <w:pPr>
        <w:ind w:left="1290" w:hanging="420"/>
      </w:pPr>
    </w:lvl>
    <w:lvl w:ilvl="2" w:tentative="0">
      <w:start w:val="1"/>
      <w:numFmt w:val="lowerRoman"/>
      <w:lvlText w:val="%3."/>
      <w:lvlJc w:val="right"/>
      <w:pPr>
        <w:ind w:left="1710" w:hanging="420"/>
      </w:pPr>
    </w:lvl>
    <w:lvl w:ilvl="3" w:tentative="0">
      <w:start w:val="1"/>
      <w:numFmt w:val="decimal"/>
      <w:lvlText w:val="%4."/>
      <w:lvlJc w:val="left"/>
      <w:pPr>
        <w:ind w:left="2130" w:hanging="420"/>
      </w:pPr>
    </w:lvl>
    <w:lvl w:ilvl="4" w:tentative="0">
      <w:start w:val="1"/>
      <w:numFmt w:val="lowerLetter"/>
      <w:lvlText w:val="%5)"/>
      <w:lvlJc w:val="left"/>
      <w:pPr>
        <w:ind w:left="2550" w:hanging="420"/>
      </w:pPr>
    </w:lvl>
    <w:lvl w:ilvl="5" w:tentative="0">
      <w:start w:val="1"/>
      <w:numFmt w:val="lowerRoman"/>
      <w:lvlText w:val="%6."/>
      <w:lvlJc w:val="right"/>
      <w:pPr>
        <w:ind w:left="2970" w:hanging="420"/>
      </w:pPr>
    </w:lvl>
    <w:lvl w:ilvl="6" w:tentative="0">
      <w:start w:val="1"/>
      <w:numFmt w:val="decimal"/>
      <w:lvlText w:val="%7."/>
      <w:lvlJc w:val="left"/>
      <w:pPr>
        <w:ind w:left="3390" w:hanging="420"/>
      </w:pPr>
    </w:lvl>
    <w:lvl w:ilvl="7" w:tentative="0">
      <w:start w:val="1"/>
      <w:numFmt w:val="lowerLetter"/>
      <w:lvlText w:val="%8)"/>
      <w:lvlJc w:val="left"/>
      <w:pPr>
        <w:ind w:left="3810" w:hanging="420"/>
      </w:pPr>
    </w:lvl>
    <w:lvl w:ilvl="8" w:tentative="0">
      <w:start w:val="1"/>
      <w:numFmt w:val="lowerRoman"/>
      <w:lvlText w:val="%9."/>
      <w:lvlJc w:val="right"/>
      <w:pPr>
        <w:ind w:left="423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4354"/>
    <w:rsid w:val="0004088A"/>
    <w:rsid w:val="00057A58"/>
    <w:rsid w:val="00097272"/>
    <w:rsid w:val="000D2AF1"/>
    <w:rsid w:val="000D315D"/>
    <w:rsid w:val="000E33D3"/>
    <w:rsid w:val="000E55AC"/>
    <w:rsid w:val="000F1AAE"/>
    <w:rsid w:val="001369FA"/>
    <w:rsid w:val="00143434"/>
    <w:rsid w:val="00173923"/>
    <w:rsid w:val="00181EBB"/>
    <w:rsid w:val="00186E75"/>
    <w:rsid w:val="001936E5"/>
    <w:rsid w:val="001B7DE7"/>
    <w:rsid w:val="001D120C"/>
    <w:rsid w:val="00207CFD"/>
    <w:rsid w:val="00215A31"/>
    <w:rsid w:val="00221C11"/>
    <w:rsid w:val="00230712"/>
    <w:rsid w:val="0023265F"/>
    <w:rsid w:val="00260705"/>
    <w:rsid w:val="00282F08"/>
    <w:rsid w:val="0028530E"/>
    <w:rsid w:val="00285CEF"/>
    <w:rsid w:val="00295D5D"/>
    <w:rsid w:val="002C18F3"/>
    <w:rsid w:val="002C2DBF"/>
    <w:rsid w:val="002F266B"/>
    <w:rsid w:val="0030107E"/>
    <w:rsid w:val="003078C7"/>
    <w:rsid w:val="003A3075"/>
    <w:rsid w:val="003B2803"/>
    <w:rsid w:val="003C331A"/>
    <w:rsid w:val="003D51CC"/>
    <w:rsid w:val="003E4587"/>
    <w:rsid w:val="00412FE2"/>
    <w:rsid w:val="004A0403"/>
    <w:rsid w:val="004A7E26"/>
    <w:rsid w:val="004C7F3B"/>
    <w:rsid w:val="004F0825"/>
    <w:rsid w:val="005054B5"/>
    <w:rsid w:val="0054648F"/>
    <w:rsid w:val="005649D3"/>
    <w:rsid w:val="00575AD0"/>
    <w:rsid w:val="005916A7"/>
    <w:rsid w:val="005A2561"/>
    <w:rsid w:val="005B0A4A"/>
    <w:rsid w:val="005D37A4"/>
    <w:rsid w:val="006104A5"/>
    <w:rsid w:val="00622A89"/>
    <w:rsid w:val="00626439"/>
    <w:rsid w:val="00636773"/>
    <w:rsid w:val="00655011"/>
    <w:rsid w:val="006A6826"/>
    <w:rsid w:val="006A759D"/>
    <w:rsid w:val="006A7794"/>
    <w:rsid w:val="006B627B"/>
    <w:rsid w:val="006E6709"/>
    <w:rsid w:val="006F103E"/>
    <w:rsid w:val="006F2083"/>
    <w:rsid w:val="0075781A"/>
    <w:rsid w:val="00793941"/>
    <w:rsid w:val="00794354"/>
    <w:rsid w:val="007A5D71"/>
    <w:rsid w:val="007B2D63"/>
    <w:rsid w:val="00801ED0"/>
    <w:rsid w:val="0081628E"/>
    <w:rsid w:val="00843879"/>
    <w:rsid w:val="00876408"/>
    <w:rsid w:val="00880CED"/>
    <w:rsid w:val="008812EF"/>
    <w:rsid w:val="008B456B"/>
    <w:rsid w:val="008F38FE"/>
    <w:rsid w:val="00925F20"/>
    <w:rsid w:val="00935923"/>
    <w:rsid w:val="00960924"/>
    <w:rsid w:val="009865EE"/>
    <w:rsid w:val="009D0EB4"/>
    <w:rsid w:val="009D2172"/>
    <w:rsid w:val="00A06535"/>
    <w:rsid w:val="00A13EBA"/>
    <w:rsid w:val="00A15B4A"/>
    <w:rsid w:val="00A3379B"/>
    <w:rsid w:val="00A45C2D"/>
    <w:rsid w:val="00A629D6"/>
    <w:rsid w:val="00AB715C"/>
    <w:rsid w:val="00B740DD"/>
    <w:rsid w:val="00B743C5"/>
    <w:rsid w:val="00B90D00"/>
    <w:rsid w:val="00BB0895"/>
    <w:rsid w:val="00BC22B0"/>
    <w:rsid w:val="00BC3C82"/>
    <w:rsid w:val="00BE4196"/>
    <w:rsid w:val="00BE7EF7"/>
    <w:rsid w:val="00C0395F"/>
    <w:rsid w:val="00C22B0A"/>
    <w:rsid w:val="00C47154"/>
    <w:rsid w:val="00C603C1"/>
    <w:rsid w:val="00C76384"/>
    <w:rsid w:val="00C87F35"/>
    <w:rsid w:val="00CA5798"/>
    <w:rsid w:val="00CF75AD"/>
    <w:rsid w:val="00D07122"/>
    <w:rsid w:val="00D4469D"/>
    <w:rsid w:val="00D74B92"/>
    <w:rsid w:val="00D90B7C"/>
    <w:rsid w:val="00DB618A"/>
    <w:rsid w:val="00DD3883"/>
    <w:rsid w:val="00DD7CF9"/>
    <w:rsid w:val="00E131AF"/>
    <w:rsid w:val="00E36C52"/>
    <w:rsid w:val="00E83936"/>
    <w:rsid w:val="00E844D3"/>
    <w:rsid w:val="00E97812"/>
    <w:rsid w:val="00EF0776"/>
    <w:rsid w:val="00F00A42"/>
    <w:rsid w:val="00F05B87"/>
    <w:rsid w:val="00F10789"/>
    <w:rsid w:val="00F83912"/>
    <w:rsid w:val="00F87846"/>
    <w:rsid w:val="00F929B5"/>
    <w:rsid w:val="00FB75F3"/>
    <w:rsid w:val="00FC4327"/>
    <w:rsid w:val="00FD4F0F"/>
    <w:rsid w:val="00FE4BBB"/>
    <w:rsid w:val="0524128A"/>
    <w:rsid w:val="22A64BB2"/>
    <w:rsid w:val="34896916"/>
    <w:rsid w:val="3AE42B64"/>
    <w:rsid w:val="3BFB73D7"/>
    <w:rsid w:val="79DF34BA"/>
    <w:rsid w:val="7ABE570E"/>
    <w:rsid w:val="7F4937D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iPriority w:val="99"/>
    <w:pPr>
      <w:tabs>
        <w:tab w:val="center" w:pos="4153"/>
        <w:tab w:val="right" w:pos="8306"/>
      </w:tabs>
      <w:snapToGrid w:val="0"/>
      <w:jc w:val="left"/>
    </w:pPr>
    <w:rPr>
      <w:rFonts w:ascii="Calibri" w:hAnsi="Calibri"/>
      <w:sz w:val="18"/>
      <w:szCs w:val="18"/>
    </w:rPr>
  </w:style>
  <w:style w:type="paragraph" w:styleId="3">
    <w:name w:val="header"/>
    <w:basedOn w:val="1"/>
    <w:link w:val="7"/>
    <w:qFormat/>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4">
    <w:name w:val="Normal (Web)"/>
    <w:basedOn w:val="1"/>
    <w:semiHidden/>
    <w:qFormat/>
    <w:uiPriority w:val="99"/>
    <w:pPr>
      <w:widowControl/>
      <w:spacing w:before="100" w:beforeAutospacing="1" w:after="100" w:afterAutospacing="1"/>
      <w:jc w:val="left"/>
    </w:pPr>
    <w:rPr>
      <w:rFonts w:ascii="宋体" w:hAnsi="宋体" w:cs="宋体"/>
      <w:kern w:val="0"/>
      <w:sz w:val="24"/>
    </w:rPr>
  </w:style>
  <w:style w:type="character" w:customStyle="1" w:styleId="7">
    <w:name w:val="页眉 Char"/>
    <w:basedOn w:val="6"/>
    <w:link w:val="3"/>
    <w:semiHidden/>
    <w:locked/>
    <w:uiPriority w:val="99"/>
    <w:rPr>
      <w:rFonts w:cs="Times New Roman"/>
      <w:sz w:val="18"/>
      <w:szCs w:val="18"/>
    </w:rPr>
  </w:style>
  <w:style w:type="character" w:customStyle="1" w:styleId="8">
    <w:name w:val="页脚 Char"/>
    <w:basedOn w:val="6"/>
    <w:link w:val="2"/>
    <w:locked/>
    <w:uiPriority w:val="99"/>
    <w:rPr>
      <w:rFonts w:cs="Times New Roman"/>
      <w:sz w:val="18"/>
      <w:szCs w:val="18"/>
    </w:rPr>
  </w:style>
  <w:style w:type="character" w:customStyle="1" w:styleId="9">
    <w:name w:val="Hyperlink.0"/>
    <w:basedOn w:val="10"/>
    <w:qFormat/>
    <w:uiPriority w:val="0"/>
    <w:rPr>
      <w:rFonts w:ascii="仿宋_GB2312" w:hAnsi="仿宋_GB2312" w:eastAsia="仿宋_GB2312" w:cs="仿宋_GB2312"/>
      <w:sz w:val="32"/>
      <w:szCs w:val="32"/>
      <w:lang w:val="zh-TW" w:eastAsia="zh-TW"/>
    </w:rPr>
  </w:style>
  <w:style w:type="character" w:customStyle="1" w:styleId="10">
    <w:name w:val="无"/>
    <w:qFormat/>
    <w:uiPriority w:val="0"/>
    <w:rPr>
      <w:rFonts w:ascii="Times New Roman" w:hAnsi="Times New Roman" w:eastAsia="宋体" w:cs="Times New Roman"/>
    </w:rPr>
  </w:style>
  <w:style w:type="paragraph" w:customStyle="1" w:styleId="11">
    <w:name w:val="正文 A"/>
    <w:qFormat/>
    <w:uiPriority w:val="0"/>
    <w:pPr>
      <w:framePr w:wrap="around" w:vAnchor="margin" w:hAnchor="text" w:yAlign="top"/>
      <w:widowControl w:val="0"/>
      <w:jc w:val="both"/>
    </w:pPr>
    <w:rPr>
      <w:rFonts w:ascii="Calibri" w:hAnsi="Calibri" w:eastAsia="Calibri" w:cs="Calibri"/>
      <w:color w:val="000000"/>
      <w:kern w:val="2"/>
      <w:sz w:val="21"/>
      <w:szCs w:val="21"/>
      <w:u w:color="00000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9D9D5E-A5B7-407D-BB65-008952CFA62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594</Words>
  <Characters>3389</Characters>
  <Lines>28</Lines>
  <Paragraphs>7</Paragraphs>
  <TotalTime>3</TotalTime>
  <ScaleCrop>false</ScaleCrop>
  <LinksUpToDate>false</LinksUpToDate>
  <CharactersWithSpaces>3976</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2019-01-09T10:04:00Z</dcterms:created>
  <dc:creator>周强</dc:creator>
  <cp:lastModifiedBy>hp</cp:lastModifiedBy>
  <cp:lastPrinted>2019-02-15T02:07:00Z</cp:lastPrinted>
  <dcterms:modified xsi:type="dcterms:W3CDTF">2019-03-31T04:54:23Z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