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中国共产党昆明市呈贡区委员会农村工作领导小组办公室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年预算公开</w:t>
      </w:r>
      <w:r>
        <w:rPr>
          <w:rFonts w:hint="eastAsia" w:ascii="方正小标宋简体" w:eastAsia="方正小标宋简体"/>
          <w:sz w:val="44"/>
          <w:szCs w:val="44"/>
        </w:rPr>
        <w:t>目录</w:t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第一部分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lang w:eastAsia="zh-CN"/>
        </w:rPr>
        <w:t>中国共产党昆明市呈贡区委员会农村工作领导小组办公室</w:t>
      </w:r>
      <w:r>
        <w:rPr>
          <w:rFonts w:ascii="黑体" w:hAnsi="黑体" w:eastAsia="黑体"/>
          <w:sz w:val="30"/>
          <w:szCs w:val="30"/>
        </w:rPr>
        <w:t>2019</w:t>
      </w:r>
      <w:r>
        <w:rPr>
          <w:rFonts w:hint="eastAsia" w:ascii="黑体" w:hAnsi="黑体" w:eastAsia="黑体"/>
          <w:sz w:val="30"/>
          <w:szCs w:val="30"/>
        </w:rPr>
        <w:t>年部门预算编制说明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第二部分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lang w:eastAsia="zh-CN"/>
        </w:rPr>
        <w:t>中国共产党昆明市呈贡区委员会农村工作领导小组办公室</w:t>
      </w:r>
      <w:r>
        <w:rPr>
          <w:rFonts w:ascii="黑体" w:hAnsi="黑体" w:eastAsia="黑体"/>
          <w:sz w:val="30"/>
          <w:szCs w:val="30"/>
        </w:rPr>
        <w:t>2019</w:t>
      </w:r>
      <w:r>
        <w:rPr>
          <w:rFonts w:hint="eastAsia" w:ascii="黑体" w:hAnsi="黑体" w:eastAsia="黑体"/>
          <w:sz w:val="30"/>
          <w:szCs w:val="30"/>
        </w:rPr>
        <w:t>年部门预算表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一、部门收支总表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二、部门收入总表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三、部门支出总表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四、财政拨款收支预算总表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五、一般公共预算支出表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六、基本支出预算表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七、基金预算支出情况表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八、财政拨款支出明细表（按经济分类科目）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九、“三公”经费公共预算财政拨款支出情况表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部门项目支出绩效目标表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十一、部门整体支出绩效目标表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十二、市对下绩效目标表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十三、市本级绩效目标表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十四、政府采购表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十五、部门基本信息表</w:t>
      </w:r>
    </w:p>
    <w:p>
      <w:pPr>
        <w:jc w:val="left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eastAsia="仿宋_GB2312"/>
          <w:sz w:val="30"/>
          <w:szCs w:val="30"/>
        </w:rPr>
        <w:t>十六、行政事业单位资产情况表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lang w:eastAsia="zh-CN"/>
        </w:rPr>
        <w:t>中国共产党昆明市呈贡区委员会农村工作领导小组办公室</w:t>
      </w:r>
      <w:r>
        <w:rPr>
          <w:rFonts w:ascii="方正小标宋简体" w:eastAsia="方正小标宋简体"/>
          <w:kern w:val="0"/>
          <w:sz w:val="36"/>
          <w:szCs w:val="36"/>
        </w:rPr>
        <w:t>2019</w:t>
      </w:r>
      <w:r>
        <w:rPr>
          <w:rFonts w:hint="eastAsia" w:ascii="方正小标宋简体" w:eastAsia="方正小标宋简体"/>
          <w:kern w:val="0"/>
          <w:sz w:val="36"/>
          <w:szCs w:val="36"/>
        </w:rPr>
        <w:t>年部门预算编制说明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一、基本职能及主要工作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" w:firstLineChars="100"/>
        <w:jc w:val="left"/>
        <w:textAlignment w:val="auto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统筹协调全区“三农”工作，负责对农业和农村重要工作的综合协调与督促检查；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  <w:t>负责处理区委农村工作领导小组日常事务，筹办区委农村工作领导小组会议，参与全区涉农重大政策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  <w:t>重要文稿的研究咨询和起草。牵头实施乡村振兴战略工作；牵头负责全区美丽宜居乡村建设项目；组织实施省级重点村等新农村建设项目；督促落实涉农居民创业就业政策体系；做好农村人居环境整治和农村“七改三清”工作；执行有关统筹城乡、城乡一体化发展的方针政策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" w:firstLineChars="100"/>
        <w:jc w:val="left"/>
        <w:textAlignment w:val="auto"/>
        <w:rPr>
          <w:rFonts w:hint="eastAsia"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楷体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中国共产党昆明市呈贡区委员会农村工作领导小组办公室（以下简称中共昆明市呈贡区委农办），属财政全供给单位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，共设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1个办公室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，负责农村工作领导小组的日常工作。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" w:firstLineChars="1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（三）重点工作概述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  <w:t>认真贯彻落实“三农”政策，执行国家和省、市、区有关统筹城乡、城乡一体化发展的方针政策，加快形成城乡一体化发展新格局。认真组织实施并完成省级重点村等新农村建设项目；分析研究全区美丽宜居乡村建设出现的新情况、新问题，完成了本年度全区美丽宜居乡村建设项目；做好农村“七改三清”工作和提升农村人居环境整治工作，促进全区新农村建设整体提挡升级，农村人居环境进一步提升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  <w:lang w:eastAsia="zh-CN"/>
        </w:rPr>
        <w:t>实施全区乡村振兴战略规划、实施方案的编制和项目的推进；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  <w:t>认真做好涉农居民创业就业工作，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  <w:lang w:eastAsia="zh-CN"/>
        </w:rPr>
        <w:t>促进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shd w:val="clear" w:color="auto" w:fill="FFFFFF"/>
        </w:rPr>
        <w:t>涉农居民创业就业稳步增长，农民生活质量明显提高。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二、预算单位基本情况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我部门编制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年部门预算单位共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个,</w:t>
      </w:r>
      <w:r>
        <w:rPr>
          <w:rFonts w:hint="eastAsia" w:ascii="仿宋_GB2312" w:hAnsi="仿宋_GB2312" w:eastAsia="仿宋_GB2312" w:cs="仿宋_GB2312"/>
          <w:sz w:val="30"/>
          <w:szCs w:val="30"/>
        </w:rPr>
        <w:t>纳入2019年部门预算编报的单位共1个，即中共昆明市呈贡区委农办，属财政全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额</w:t>
      </w:r>
      <w:r>
        <w:rPr>
          <w:rFonts w:hint="eastAsia" w:ascii="仿宋_GB2312" w:hAnsi="仿宋_GB2312" w:eastAsia="仿宋_GB2312" w:cs="仿宋_GB2312"/>
          <w:sz w:val="30"/>
          <w:szCs w:val="30"/>
        </w:rPr>
        <w:t>供给单位。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部门基本情况如下：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在职人员编制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人，其中：行政编制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人，事业编制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人。在职实有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人，其中：财政全供养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人，财政部分供养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人，非财政供养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离退休人员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人，其中：离休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人，退休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车辆编制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辆，实有车辆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三、预算单位收入情况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（一）部门财务收入情况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50" w:firstLine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年部门财务总收入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万元，其中：一般公共预算财政拨款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万元，政府性基金预算财政拨款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万元，国有资本经营预算财政拨款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万元，事业收入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万元，事业单位经营收入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万元，其他收入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万元，上年结转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（二）财政拨款收入情况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50" w:firstLine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年部门财政拨款收入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万元，其中:本年收入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万元，上年结转收入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万元（本级财力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万元，专项收入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万元，执法办案补助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万元，收费成本补偿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万元，财政专户管理的收入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万元，国有资源（资产）有偿使用收入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万元），政府性基金财政拨款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万元，国有资本经营预算财政拨款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四、预算单位支出情况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年部门预算总支出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万元。本级财力安排支出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2583.37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万元，其中，基本支出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73.47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万元，项目支出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250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.90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，分别占总支出的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2.85%和97.15%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eastAsia="仿宋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（一）本级财力支出按功能科目分类情况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本年基本支出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73.47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分别列以下科目核算：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1、“2130101－行政运行” 61.80万元，主要为工资、医保、办公费等机构运转的经费。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2、“2080505-机关事业单位基本养老保险缴费支出” 6.18万元，用于年度基本养老保险缴费。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3、“2210201-住房公积金”支出5.40万元，用于缴纳住房公积金支出。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4、“2050803-培训支出” 科目0.09万元，主要用于培训方面支出。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本年度财政批复项目预算经费共250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.90万元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，分别</w:t>
      </w:r>
      <w:r>
        <w:rPr>
          <w:rFonts w:hint="eastAsia" w:ascii="仿宋_GB2312" w:hAnsi="仿宋_GB2312" w:eastAsia="仿宋_GB2312" w:cs="仿宋_GB2312"/>
          <w:sz w:val="30"/>
          <w:szCs w:val="30"/>
        </w:rPr>
        <w:t>列入下列科目核算：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列入“2130199- 其他农业支出”科目核算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2507.90万元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1、实施乡村振兴“十镇百村”示范工程区级配套资金2400万元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2、村庄保洁市级补助区级配套资金69.90万元；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3、涉农居民创业就业工作经费10万元；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4、城乡统筹工作经费9万元；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5、农村人居环境整治工作经费10万元；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6、乡村振兴战略工作经费9万元。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eastAsia="仿宋_GB2312"/>
          <w:color w:val="FF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列入“2129901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-其他城乡社区支出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”科目核算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2万元，主要是2018年度省级城乡统筹转户专项工作经费。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（二）本级财力支出按经济科目分类情况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按支出经济分类科目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分为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：基本支出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73.47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万元，项目支出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2509.90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，分别占总支出预算的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2.85%和97.15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机关工资福利支出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56.45万元，占基本支出的76.83，占总支出的2.25%；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2.机关商品和服务支出2526.92万元。其中基本支出中的商品服务支出17.02万元，占比0.67%；项目支出中的商品服务支出2509.90万元，占比99.37%。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五、市对下专项转移支付情况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0" w:firstLineChars="15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列入市对下专项转移支付项目清单项目情况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列入市对下专项转移支付项目清单项目：金额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城乡统筹转户专项工作。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六、</w:t>
      </w:r>
      <w:r>
        <w:rPr>
          <w:rFonts w:hint="eastAsia" w:ascii="黑体" w:hAnsi="黑体" w:eastAsia="黑体"/>
          <w:bCs/>
          <w:sz w:val="30"/>
          <w:szCs w:val="30"/>
        </w:rPr>
        <w:t>“三公”经费安排情况说明</w:t>
      </w:r>
      <w:r>
        <w:rPr>
          <w:rFonts w:ascii="黑体" w:hAnsi="黑体" w:eastAsia="黑体"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年部门“三公”经费预算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万元，比上年预算数增加（减少）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万元，分别为：1.因公出国（境）费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万元，比上年预算数增加（减少）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万元；2.公务接待费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万元，比上年预算数增加（减少）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万元；3.公务用车购置及运行费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万元，其中：公务用车购置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万元，比上年预算数增加（减少）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万元；公务用车运行费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万元，比上年预算数增加（减少）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七、政府采购预算情况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2019年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无政府采购预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八、预算收支增减变化情况说明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" w:hAnsi="楷体" w:eastAsia="楷体"/>
          <w:kern w:val="0"/>
          <w:sz w:val="30"/>
          <w:szCs w:val="30"/>
        </w:rPr>
      </w:pPr>
      <w:r>
        <w:rPr>
          <w:rFonts w:hint="eastAsia" w:ascii="楷体" w:hAnsi="楷体" w:eastAsia="楷体"/>
          <w:kern w:val="0"/>
          <w:sz w:val="30"/>
          <w:szCs w:val="30"/>
        </w:rPr>
        <w:t>（一）基本支出预算变动的主要原因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年本级财力安排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基本支出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73.47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万元，与上年对比增加</w:t>
      </w:r>
      <w:r>
        <w:rPr>
          <w:rFonts w:hint="eastAsia" w:ascii="仿宋_GB2312" w:hAnsi="仿宋_GB2312" w:eastAsia="仿宋_GB2312" w:cs="仿宋_GB2312"/>
          <w:sz w:val="30"/>
          <w:szCs w:val="30"/>
        </w:rPr>
        <w:t>20.23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万元，增减变化的原因主要是：</w:t>
      </w:r>
      <w:r>
        <w:rPr>
          <w:rFonts w:hint="eastAsia" w:ascii="仿宋_GB2312" w:hAnsi="仿宋_GB2312" w:eastAsia="仿宋_GB2312" w:cs="仿宋_GB2312"/>
          <w:sz w:val="30"/>
          <w:szCs w:val="30"/>
        </w:rPr>
        <w:t>由于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工资、社保缴费基数调整和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人员增加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等因素所致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" w:hAnsi="楷体" w:eastAsia="楷体"/>
          <w:kern w:val="0"/>
          <w:sz w:val="30"/>
          <w:szCs w:val="30"/>
        </w:rPr>
      </w:pPr>
      <w:r>
        <w:rPr>
          <w:rFonts w:hint="eastAsia" w:ascii="楷体" w:hAnsi="楷体" w:eastAsia="楷体"/>
          <w:kern w:val="0"/>
          <w:sz w:val="30"/>
          <w:szCs w:val="30"/>
        </w:rPr>
        <w:t>（二）项目支出预算变动的主要原因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年本级财力安排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项目支出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250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.90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比上年增加180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.07万元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变化的原因主要是：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年新增乡村振兴“十镇百村”示范工程项目，按照 “市级财政安排示范镇建设资金每镇不少于1000万元，示范村每村不少于100万元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县（市）区、乡财政要按相同比例给予资金配套”的文件精神，预算我区2个镇、4个村配套资金，增加本年预算。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九、其他公开信息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（一）专业名词解释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（二）机关运行经费安排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年本级财力安排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机关运行经费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17.02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比上年的10.74万元增加1.96万元，主要是人员增加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按定额计算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有所增加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所致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（三）国有资产占用情况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截至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年12月31日的国有资产占有使用情况如下：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资产总额为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27.27万元，其中流动资产15.60万元，占总资产的57.21%；固定资产11.67万元，占总资产的42.79%。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鉴于上述数据为快报数，相关数据待2018年决算编制后才能统计汇总，届时，将在公开2018年度部门决算时一并公开部门截至2018年12月31日的国有资产占有使用情况。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（四）本部门整体支出预算绩效情况说明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单位预算整体绩效主要包括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单位职能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、年度主要工作内容、年度总体目标、测算依据、预期实现效益的一级、二级、三级指标和指标值等内容，完整成反映了本单位职责所体现的主要工作内容。</w:t>
      </w:r>
      <w:r>
        <w:rPr>
          <w:rFonts w:hint="eastAsia" w:eastAsia="仿宋_GB2312"/>
          <w:kern w:val="0"/>
          <w:sz w:val="30"/>
          <w:szCs w:val="30"/>
        </w:rPr>
        <w:t>详见整体支出预算绩效目标表。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（五）本部门项目支出绩效情况说明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2019年财政批复本单位9个预算项目绩效情况。每个项目都包括项目概况、立项依据、总体目标、绩效指标等内容，反映各项目实施的效果等内容。详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见项目支出预算绩效目标表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中共昆明市呈贡区委农办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</w:p>
    <w:p>
      <w:pPr/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67027208">
    <w:nsid w:val="C2BAE108"/>
    <w:multiLevelType w:val="singleLevel"/>
    <w:tmpl w:val="C2BAE108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2670272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54"/>
    <w:rsid w:val="00057A58"/>
    <w:rsid w:val="00097272"/>
    <w:rsid w:val="000D315D"/>
    <w:rsid w:val="000E33D3"/>
    <w:rsid w:val="000E55AC"/>
    <w:rsid w:val="001369FA"/>
    <w:rsid w:val="00181EBB"/>
    <w:rsid w:val="00186E75"/>
    <w:rsid w:val="001936E5"/>
    <w:rsid w:val="001B7DE7"/>
    <w:rsid w:val="001D120C"/>
    <w:rsid w:val="00282F08"/>
    <w:rsid w:val="0028530E"/>
    <w:rsid w:val="00285CEF"/>
    <w:rsid w:val="00295D5D"/>
    <w:rsid w:val="002F266B"/>
    <w:rsid w:val="0030107E"/>
    <w:rsid w:val="003A3075"/>
    <w:rsid w:val="003B2803"/>
    <w:rsid w:val="003D51CC"/>
    <w:rsid w:val="003E4587"/>
    <w:rsid w:val="00412FE2"/>
    <w:rsid w:val="004A0403"/>
    <w:rsid w:val="004A7E26"/>
    <w:rsid w:val="004F0825"/>
    <w:rsid w:val="005054B5"/>
    <w:rsid w:val="005916A7"/>
    <w:rsid w:val="005B0A4A"/>
    <w:rsid w:val="005D37A4"/>
    <w:rsid w:val="00622A89"/>
    <w:rsid w:val="00626439"/>
    <w:rsid w:val="00636773"/>
    <w:rsid w:val="00655011"/>
    <w:rsid w:val="006A6826"/>
    <w:rsid w:val="006E6709"/>
    <w:rsid w:val="006F103E"/>
    <w:rsid w:val="006F2083"/>
    <w:rsid w:val="00794354"/>
    <w:rsid w:val="007A5D71"/>
    <w:rsid w:val="007B2D63"/>
    <w:rsid w:val="0081628E"/>
    <w:rsid w:val="00876408"/>
    <w:rsid w:val="008812EF"/>
    <w:rsid w:val="008B456B"/>
    <w:rsid w:val="00925F20"/>
    <w:rsid w:val="00935923"/>
    <w:rsid w:val="00960924"/>
    <w:rsid w:val="009865EE"/>
    <w:rsid w:val="009D2172"/>
    <w:rsid w:val="00A06535"/>
    <w:rsid w:val="00A13EBA"/>
    <w:rsid w:val="00A15B4A"/>
    <w:rsid w:val="00A3379B"/>
    <w:rsid w:val="00A629D6"/>
    <w:rsid w:val="00B740DD"/>
    <w:rsid w:val="00B90D00"/>
    <w:rsid w:val="00BB0895"/>
    <w:rsid w:val="00BC3C82"/>
    <w:rsid w:val="00BE7EF7"/>
    <w:rsid w:val="00C22B0A"/>
    <w:rsid w:val="00C603C1"/>
    <w:rsid w:val="00CA5798"/>
    <w:rsid w:val="00CF75AD"/>
    <w:rsid w:val="00D07122"/>
    <w:rsid w:val="00D74B92"/>
    <w:rsid w:val="00DB618A"/>
    <w:rsid w:val="00DD7CF9"/>
    <w:rsid w:val="00E36C52"/>
    <w:rsid w:val="00E97812"/>
    <w:rsid w:val="00EF0776"/>
    <w:rsid w:val="00F00A42"/>
    <w:rsid w:val="00F05B87"/>
    <w:rsid w:val="00F10789"/>
    <w:rsid w:val="00F83912"/>
    <w:rsid w:val="00FB75F3"/>
    <w:rsid w:val="00FD4F0F"/>
    <w:rsid w:val="00FE4BBB"/>
    <w:rsid w:val="033C186A"/>
    <w:rsid w:val="04143053"/>
    <w:rsid w:val="045D313D"/>
    <w:rsid w:val="06BC3800"/>
    <w:rsid w:val="080B524F"/>
    <w:rsid w:val="088F564E"/>
    <w:rsid w:val="095460D9"/>
    <w:rsid w:val="0C3962C0"/>
    <w:rsid w:val="0DB502D8"/>
    <w:rsid w:val="0F3E1936"/>
    <w:rsid w:val="151C7738"/>
    <w:rsid w:val="15CC0888"/>
    <w:rsid w:val="1B0103A1"/>
    <w:rsid w:val="1D2C2E5C"/>
    <w:rsid w:val="1F3A0196"/>
    <w:rsid w:val="22173AEC"/>
    <w:rsid w:val="22EC5341"/>
    <w:rsid w:val="234A7DBF"/>
    <w:rsid w:val="234E6687"/>
    <w:rsid w:val="23DD2E00"/>
    <w:rsid w:val="24846B72"/>
    <w:rsid w:val="26187069"/>
    <w:rsid w:val="26CB63D4"/>
    <w:rsid w:val="296C0849"/>
    <w:rsid w:val="298E4D7B"/>
    <w:rsid w:val="2B330D56"/>
    <w:rsid w:val="2D482934"/>
    <w:rsid w:val="2DC867A1"/>
    <w:rsid w:val="2ED355F1"/>
    <w:rsid w:val="2F1A019B"/>
    <w:rsid w:val="3053116A"/>
    <w:rsid w:val="311317C0"/>
    <w:rsid w:val="314045D7"/>
    <w:rsid w:val="31A50430"/>
    <w:rsid w:val="33F13D31"/>
    <w:rsid w:val="360723BD"/>
    <w:rsid w:val="3821694D"/>
    <w:rsid w:val="384B0E90"/>
    <w:rsid w:val="3F0C5069"/>
    <w:rsid w:val="443166FE"/>
    <w:rsid w:val="47C746D7"/>
    <w:rsid w:val="4C737797"/>
    <w:rsid w:val="4C8B39B6"/>
    <w:rsid w:val="4C942CD8"/>
    <w:rsid w:val="4D483B7F"/>
    <w:rsid w:val="51C72B84"/>
    <w:rsid w:val="54AE7044"/>
    <w:rsid w:val="54FC58DD"/>
    <w:rsid w:val="55727796"/>
    <w:rsid w:val="581D5E6F"/>
    <w:rsid w:val="58B63058"/>
    <w:rsid w:val="58D10594"/>
    <w:rsid w:val="5AB72717"/>
    <w:rsid w:val="5B942C6B"/>
    <w:rsid w:val="5C5B26E3"/>
    <w:rsid w:val="5CA35754"/>
    <w:rsid w:val="5ED9040D"/>
    <w:rsid w:val="5ED92AA1"/>
    <w:rsid w:val="61566D92"/>
    <w:rsid w:val="63233E05"/>
    <w:rsid w:val="65663AC5"/>
    <w:rsid w:val="66C03544"/>
    <w:rsid w:val="67277770"/>
    <w:rsid w:val="6AB454EC"/>
    <w:rsid w:val="6C033A09"/>
    <w:rsid w:val="6DD52FC1"/>
    <w:rsid w:val="72262A7D"/>
    <w:rsid w:val="725F7A17"/>
    <w:rsid w:val="75A607EF"/>
    <w:rsid w:val="7877324F"/>
    <w:rsid w:val="7A81647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358</Words>
  <Characters>2043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2019-01-09T10:04:00Z</dcterms:created>
  <dc:creator>周强</dc:creator>
  <cp:lastModifiedBy>Administrator</cp:lastModifiedBy>
  <cp:lastPrinted>2019-02-15T02:07:00Z</cp:lastPrinted>
  <dcterms:modified xsi:type="dcterms:W3CDTF">2019-03-30T05:02:47Z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